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7F" w:rsidRDefault="00993A7F" w:rsidP="00993A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 немного отстаёте от 416, поэтому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сегодня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 темы будет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«Приборы контроля двигателей и систем вертолета»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Термометр выходящих газов 2ИА-6: назначение, комплект, принцип действия, включение прибора.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Измеритель режимов ИР-117М: назначение, комплект, принцип действия, включение прибора.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Термометр выходящих газов 2ИА-6 (сдвоенная измерительная аппаратура) предназначен для измерения температуры выходящих газов двигателей ТВ3-117ТВ в комплекте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хромель-алюминиевыми термопарами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соединенными параллельно.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комплект измерительной аппаратуры входит: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 2УТ-6к на левой приборной доске;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усилитель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2УЭ 6Б на правой этажерке в кабине;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переходные колодки ПК-6 в грузовой кабине шп4;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подсоединения компенсационных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проводов  термопар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аппаратуре 2ИА-6 и к регулятору температуры РТ-12-6 2с служит соединительная колодка К-82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Сдвоенный указатель </w:t>
      </w:r>
      <w:r>
        <w:rPr>
          <w:rFonts w:ascii="Times New Roman" w:hAnsi="Times New Roman" w:cs="Times New Roman"/>
          <w:b/>
          <w:sz w:val="28"/>
          <w:szCs w:val="28"/>
        </w:rPr>
        <w:t>2УТ-6К</w:t>
      </w:r>
      <w:r>
        <w:rPr>
          <w:rFonts w:ascii="Times New Roman" w:hAnsi="Times New Roman" w:cs="Times New Roman"/>
          <w:sz w:val="28"/>
          <w:szCs w:val="28"/>
        </w:rPr>
        <w:t xml:space="preserve"> состоит из 2-х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устойчивых механизмов, смонтированных в общем корпусе и работающих независимо друг от друга.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noProof/>
        </w:rPr>
        <w:drawing>
          <wp:inline distT="0" distB="0" distL="0" distR="0" wp14:anchorId="577D8229" wp14:editId="04F75104">
            <wp:extent cx="2486025" cy="1924050"/>
            <wp:effectExtent l="19050" t="0" r="9525" b="0"/>
            <wp:docPr id="122" name="Рисунок 1" descr="https://avatars.mds.yandex.net/i?id=7780f3cd046950f7ce1faf02154f3e6efcb4d9f0-76629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780f3cd046950f7ce1faf02154f3e6efcb4d9f0-76629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Рис 1.  Сдвоенный указатель температуры 2УТ-6К.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имеет две равномерные шкалы грубого отсчета от 0 до 1200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(цена деления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С) и две равномерные шкалы точного отсчета от 0 до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(цена деления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С). Для обеспечения видимости шкалы и стрелок указатель имеет встроенный красный подсвет.  С целью наилучшей работоспособности в различных климатических условиях прибор герметичен.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Усилитель </w:t>
      </w:r>
      <w:r w:rsidRPr="00033796">
        <w:rPr>
          <w:rFonts w:ascii="Times New Roman" w:hAnsi="Times New Roman" w:cs="Times New Roman"/>
          <w:b/>
          <w:sz w:val="28"/>
          <w:szCs w:val="28"/>
        </w:rPr>
        <w:t>2УЭ-6Б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двух одинаковых независимых каналов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noProof/>
        </w:rPr>
        <w:drawing>
          <wp:inline distT="0" distB="0" distL="0" distR="0" wp14:anchorId="1EEBAC12" wp14:editId="5234E90F">
            <wp:extent cx="3181350" cy="1724025"/>
            <wp:effectExtent l="19050" t="0" r="0" b="0"/>
            <wp:docPr id="124" name="Рисунок 4" descr="https://avatars.mds.yandex.net/i?id=ba7c4edbf1fe7f664262dae5d2874940_sr-70127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ba7c4edbf1fe7f664262dae5d2874940_sr-70127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Pr="00033796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Рис 2.   Усилитель 2УЭ-6Б.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канал входят: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преобразователь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постоянного напряжения в переменное, частотой 400Гц, представляющий собой механический одноименный поляризационный переключатель;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регулировки «НУЛЯ» усилителя;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52DDB8F8" wp14:editId="1F0DD7BD">
            <wp:extent cx="3152775" cy="1828800"/>
            <wp:effectExtent l="19050" t="0" r="9525" b="0"/>
            <wp:docPr id="125" name="Рисунок 7" descr="https://avatars.mds.yandex.net/i?id=e2888a21f071b2ab534fd7c496b127eaaa877ffc-123934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e2888a21f071b2ab534fd7c496b127eaaa877ffc-123934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Рис 3.   Устройство регулировки «НУЛЯ» усилителя.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блок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питания;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711A38BC" wp14:editId="15FF84A7">
            <wp:extent cx="2895600" cy="1933575"/>
            <wp:effectExtent l="19050" t="0" r="0" b="0"/>
            <wp:docPr id="126" name="Рисунок 10" descr="https://avatars.mds.yandex.net/i?id=79076ab6e505b6c72a41ae92367a51e18ea59bea5796d6de-124432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79076ab6e505b6c72a41ae92367a51e18ea59bea5796d6de-124432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Рис 4.   Блок питания усилителя 2УЭ-6Б.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Переходная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колодка  </w:t>
      </w:r>
      <w:r>
        <w:rPr>
          <w:rFonts w:ascii="Times New Roman" w:hAnsi="Times New Roman" w:cs="Times New Roman"/>
          <w:b/>
          <w:sz w:val="28"/>
          <w:szCs w:val="28"/>
        </w:rPr>
        <w:t>ПК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 xml:space="preserve">имеет корпус из алюминиевого сплава, внутри которого помещается колодка из термостойкого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прессматериала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колодке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заармированы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пустотелые латунные клеммы на которых крепятся наконечники компенсационных проводов. Внутри клемм помещаются катушки сопротивления и заливаются компаундом. Для надежной работы колодка с монтажными проводами, залита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пеногерметиком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noProof/>
        </w:rPr>
        <w:drawing>
          <wp:inline distT="0" distB="0" distL="0" distR="0" wp14:anchorId="0690B3FE" wp14:editId="7855C906">
            <wp:extent cx="2992345" cy="1876425"/>
            <wp:effectExtent l="19050" t="0" r="0" b="0"/>
            <wp:docPr id="127" name="Рисунок 13" descr="https://avatars.mds.yandex.net/i?id=3cc056c1bac333269eefd1ab48082c42_sr-33800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3cc056c1bac333269eefd1ab48082c42_sr-33800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47" cy="187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715EE">
        <w:rPr>
          <w:rFonts w:ascii="Times New Roman" w:hAnsi="Times New Roman" w:cs="Times New Roman"/>
          <w:sz w:val="24"/>
          <w:szCs w:val="24"/>
        </w:rPr>
        <w:t>Рис 5.  Переходная колодка ПК-6.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Лампочки табло «ЛЕВ ДВИГ ВЗЛ РЕЖ», «ПРАВ ДВИГ ВЗЛ РЕЖ» сигнализирующие о повышении температуры газов двигателей (на левой приборной доске) отключены.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проверки работоспособности систем аппаратуры и при неработающих двигателях на левой боковой панели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электропульта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установлены кнопки: НАЗ. 604. 018СП «КОНТРОЛЬ 2ИА-6 ЗЕМЛЯ» и «КОНТРОЛЬ 2ИА-6 ВОЗДУХ».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41A60">
        <w:rPr>
          <w:rFonts w:ascii="Times New Roman" w:hAnsi="Times New Roman" w:cs="Times New Roman"/>
          <w:i/>
          <w:sz w:val="28"/>
          <w:szCs w:val="28"/>
          <w:u w:val="single"/>
        </w:rPr>
        <w:t>Основные технические данные: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предел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измерения от 0 до 1200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рабочий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диапазон измерения от 300 до 1000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погрешность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превышает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- 6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питание по постоянному току 27В, переменному 115В 400Гц;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выдача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сигналов производится с точностью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- 8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на отметке шкалы 425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(точка сигнализации).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приборе каждому значению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термоЭДС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термопары,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измеряемой температуре соответствуют вполне определенные положения на шкале указателя стрелок, механически связанных с движком потенциометра. При изменении температуры на каждые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стрелка точного отсчета делает полный оборот, а стрелка грубого отсчета перемещается по осевой шкале на угол, соответствующий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Измеритель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-117Н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визуального контроля </w:t>
      </w:r>
    </w:p>
    <w:p w:rsidR="00993A7F" w:rsidRPr="009558E2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3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Режимов работы двигателей Н, К, О.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0E0DDC66" wp14:editId="44CCFA37">
            <wp:extent cx="4572000" cy="2152650"/>
            <wp:effectExtent l="19050" t="0" r="0" b="0"/>
            <wp:docPr id="128" name="Рисунок 16" descr="https://avatars.mds.yandex.net/i?id=355d6a223288bcc89db8306f8994cff6cfeec234-106614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355d6a223288bcc89db8306f8994cff6cfeec234-106614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6.   Измеритель режимов ИР-117.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Pr="009558E2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8E2">
        <w:rPr>
          <w:rFonts w:ascii="Times New Roman" w:hAnsi="Times New Roman" w:cs="Times New Roman"/>
          <w:sz w:val="28"/>
          <w:szCs w:val="28"/>
        </w:rPr>
        <w:t>В комплект входят: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8E2">
        <w:rPr>
          <w:rFonts w:ascii="Times New Roman" w:hAnsi="Times New Roman" w:cs="Times New Roman"/>
          <w:sz w:val="28"/>
          <w:szCs w:val="28"/>
        </w:rPr>
        <w:t xml:space="preserve">--  </w:t>
      </w:r>
      <w:r>
        <w:rPr>
          <w:rFonts w:ascii="Times New Roman" w:hAnsi="Times New Roman" w:cs="Times New Roman"/>
          <w:sz w:val="28"/>
          <w:szCs w:val="28"/>
        </w:rPr>
        <w:t>указатель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УР-117 на левой приборной доске;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приемника МП-10МР на потолке грузовой кабины шп5;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датчик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ДВК-2 в кабине летчиков под полом шп3Н-4Н;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приемник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 наружного воздуха П-1 в отсеке правого двигателя.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Конструктивно указатель </w:t>
      </w:r>
      <w:r w:rsidRPr="00E7353D">
        <w:rPr>
          <w:rFonts w:ascii="Times New Roman" w:hAnsi="Times New Roman" w:cs="Times New Roman"/>
          <w:b/>
          <w:sz w:val="28"/>
          <w:szCs w:val="28"/>
        </w:rPr>
        <w:t>УР-</w:t>
      </w:r>
      <w:proofErr w:type="gramStart"/>
      <w:r w:rsidRPr="00E7353D">
        <w:rPr>
          <w:rFonts w:ascii="Times New Roman" w:hAnsi="Times New Roman" w:cs="Times New Roman"/>
          <w:b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 объединяет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одном корпусе измерительные элементы 3-х самостоятельных приборов. Основными элементами указателя являются логометры унифицированного типа.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Приемник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ПМ-10МР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конструктивно состоит из приемного узла в виде гофрированной мембраны, передаточного механизма, потенциометра и кожуха с деталями.                                        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06A7DC90" wp14:editId="70C525D9">
            <wp:extent cx="2238375" cy="1790700"/>
            <wp:effectExtent l="19050" t="0" r="9525" b="0"/>
            <wp:docPr id="129" name="Рисунок 19" descr="https://avatars.mds.yandex.net/i?id=0c9a5a4b576ee5c7fb02eb7e51366df850213bed-64418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0c9a5a4b576ee5c7fb02eb7e51366df850213bed-64418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Рис 7.   Приемник манометра ПМ-10МР.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Датчик </w:t>
      </w:r>
      <w:r>
        <w:rPr>
          <w:rFonts w:ascii="Times New Roman" w:hAnsi="Times New Roman" w:cs="Times New Roman"/>
          <w:b/>
          <w:sz w:val="28"/>
          <w:szCs w:val="28"/>
        </w:rPr>
        <w:t xml:space="preserve">ДВК </w:t>
      </w:r>
      <w:r>
        <w:rPr>
          <w:rFonts w:ascii="Times New Roman" w:hAnsi="Times New Roman" w:cs="Times New Roman"/>
          <w:sz w:val="28"/>
          <w:szCs w:val="28"/>
        </w:rPr>
        <w:t>конструктивно состоит из чувствительного элемента в виде двух анероидных коробок соединенных посредством тяг с осью, поворот которой вызывает перемещение щетки потенциометра.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Pr="00B0115E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4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>
        <w:rPr>
          <w:noProof/>
        </w:rPr>
        <w:drawing>
          <wp:inline distT="0" distB="0" distL="0" distR="0" wp14:anchorId="5649F61C" wp14:editId="6E7368CF">
            <wp:extent cx="1990725" cy="1885950"/>
            <wp:effectExtent l="19050" t="0" r="9525" b="0"/>
            <wp:docPr id="130" name="Рисунок 22" descr="https://avatars.mds.yandex.net/i?id=9cfad0481a0fd2118d44d8095f41ab5b5e3f631a-126614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9cfad0481a0fd2118d44d8095f41ab5b5e3f631a-126614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8.  Датчик высотной коррекции ДВК.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DFD">
        <w:rPr>
          <w:rFonts w:ascii="Times New Roman" w:hAnsi="Times New Roman" w:cs="Times New Roman"/>
          <w:sz w:val="28"/>
          <w:szCs w:val="28"/>
        </w:rPr>
        <w:t xml:space="preserve">Приемник </w:t>
      </w:r>
      <w:r w:rsidRPr="00F86DFD">
        <w:rPr>
          <w:rFonts w:ascii="Times New Roman" w:hAnsi="Times New Roman" w:cs="Times New Roman"/>
          <w:b/>
          <w:sz w:val="28"/>
          <w:szCs w:val="28"/>
        </w:rPr>
        <w:t>П-1</w:t>
      </w:r>
      <w:r>
        <w:rPr>
          <w:rFonts w:ascii="Times New Roman" w:hAnsi="Times New Roman" w:cs="Times New Roman"/>
          <w:sz w:val="28"/>
          <w:szCs w:val="28"/>
        </w:rPr>
        <w:t xml:space="preserve"> измеряет температуру наружного воздуха по высотам и включен в средний измерительный элемент.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noProof/>
        </w:rPr>
        <w:drawing>
          <wp:inline distT="0" distB="0" distL="0" distR="0" wp14:anchorId="5C88C8D4" wp14:editId="068D6222">
            <wp:extent cx="2314575" cy="1285875"/>
            <wp:effectExtent l="19050" t="0" r="9525" b="0"/>
            <wp:docPr id="131" name="Рисунок 25" descr="https://avatars.mds.yandex.net/i?id=52c7dcad42c924672d769185c2a9dcb1b9f29851-53969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52c7dcad42c924672d769185c2a9dcb1b9f29851-53969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Pr="00F86DFD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Рис 9.   Приемник термометра сопротивления П-1.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Pr="00B0115E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режима работы двигателей основан на измерении давления воздуха за компрессором и преобразовании сигналов по высоте и температуре в перемещении подвижного индекса с нанесенными границами режимов: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индекс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«Н» - номинальный (давление воздуха за компрессором соответствует номинальному режиму);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индекс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«К» - крейсерский (давление воздуха за компрессором соответствует крейсерскому режиму);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индекс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«О» - ограниченный (давление воздуха за компрессором соответствует ограниченному режиму).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Центральные индексы красного цвета, буквы Н, К,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белого цвета. Для ИР-117 центральные индексы желтые, а буквы черные.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Два крайних измерительных элемента измерителя режимов в комплекте с двумя приемниками давления ПМ-10 измеряют давление воздуха за компрессором двигателей.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Средний измерительный элемент указателя с датчиком ДВК и приемником температуры П-1 измеряет барометрическое давление с коррекцией по температуре. При нормальной работе индексы крайних измерительных элементов должны совпадать с индексом соответствующего режима среднего измерительного элемента.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93A7F" w:rsidRPr="00282EDB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Максимальная погрешность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превышает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- 15% от предела измерения давления воздуха за компрессором при следующих условиях: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температура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окружающего воздуха в местах установки датчиков и указателя от 10 до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диапазон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измерения избыточного давления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==4.6 - 8.5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диапазон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 наружного воздуха от -60 до +30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комплекта от сети постоянного тока 27В.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282EDB">
        <w:rPr>
          <w:rFonts w:ascii="Times New Roman" w:hAnsi="Times New Roman" w:cs="Times New Roman"/>
          <w:i/>
          <w:sz w:val="28"/>
          <w:szCs w:val="28"/>
          <w:u w:val="single"/>
        </w:rPr>
        <w:t>Принцип  действия</w:t>
      </w:r>
      <w:proofErr w:type="gramEnd"/>
      <w:r w:rsidRPr="00282ED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Измеренное давление воспринимается чувствительным элементом (для датчиков избыточного давления гофрированная мембрана, а для датчиков барометрической высоты анероидная коробка).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 действием давления мембрана (анероидная коробка) деформируется. Эта деформация с помощью передаточного механизма поворачивает щеткодержатель и перемещает скользящий контакт по потенциометру, изменяя его сопротивление.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Изменение сопротивления потенциометра регистрируется измерительным элементом, основным узлом которого является магнитоэлектрический логометр с подвижным магнитом и неподвижными рамками, расположенными под углом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друг к другу. Действие логометра основано на свойстве подвижного магнита устанавливаться по оси результирующего магнитного поля, создаваемого рамками, при протекании по ним токов. Положение результирующего поля определяется соотношением полей рамок,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соотношению токов протекающих по рамкам. При изменении напряжения питания, величины магнитных полей рамок также изменяются, но их соотношение остается постоянным,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изменение питающего напряжения практически не влияет на показания комплекта.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Схема каждого измерительного элемента представляет собой мост, двумя плечами которого является потенциометр датчика, а двумя другими плечами сопротивления указателя. В диагональ моста включены рамки логометра.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корректировки показания по температуре в плечо указателя среднего измерительного элемента подключен приемник температуры П-1, принцип работы которого основан на изменении омического сопротивления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зависимости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 измеряемой среды. Диапазон измеряемой температуры от -70 до +150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/>
    <w:p w:rsidR="001445FE" w:rsidRDefault="001445FE"/>
    <w:p w:rsidR="00993A7F" w:rsidRDefault="00993A7F"/>
    <w:p w:rsidR="00993A7F" w:rsidRDefault="00993A7F" w:rsidP="00993A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Тема «Электрооборудование систем вибрации и топливомера»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Аппаратура контроля вибрации ИВ-500К.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Суммирующий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керосиномер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электрический с сигнализацией СКЭС-2027В.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4941A3">
        <w:rPr>
          <w:rFonts w:ascii="Times New Roman" w:hAnsi="Times New Roman" w:cs="Times New Roman"/>
          <w:sz w:val="28"/>
          <w:szCs w:val="28"/>
        </w:rPr>
        <w:t>Аппаратура контроля уровня вибрации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ИВ-500К </w:t>
      </w:r>
      <w:r>
        <w:rPr>
          <w:rFonts w:ascii="Times New Roman" w:hAnsi="Times New Roman" w:cs="Times New Roman"/>
          <w:sz w:val="28"/>
          <w:szCs w:val="28"/>
        </w:rPr>
        <w:t>предназначена для сигнализации через табло о возрастании уровня вибрации двигателей выше допустимых значений и определения значения вибрации по показаниям приборов УК-68В левого и правого.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аппаратуры контроля вибрации: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указателя УК-68В;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двухканальный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электрический блок БЭ-9Э в грузовой кабине шп1;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согласующих устройства УСС-6 на потолке грузовой кабины шп4;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пьезоэлектрических датчика вибрации МВ-03 на двигателе;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четыре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светосигнальных табло «ЛЕВ ДВИГ ВИБР ПОВ», «ПРАВ ДВИГ ВИБР ПОВ», «ЛЕВ ДВИГ ВИБР ОПАСН», «ПРАВ ДВИГ ВИБР ОПАСН».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</w:rPr>
        <w:drawing>
          <wp:inline distT="0" distB="0" distL="0" distR="0" wp14:anchorId="6A772C5E" wp14:editId="78EDF2A7">
            <wp:extent cx="3076575" cy="3009900"/>
            <wp:effectExtent l="19050" t="0" r="9525" b="0"/>
            <wp:docPr id="132" name="Рисунок 1" descr="https://avatars.mds.yandex.net/i?id=7786f89f7b6f4be4dc7ebc48af16f329313b9084-63012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786f89f7b6f4be4dc7ebc48af16f329313b9084-63012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Рис 1.  Состав и размещение ИВ-500 на вертолете.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Показывающий прибор </w:t>
      </w:r>
      <w:r>
        <w:rPr>
          <w:rFonts w:ascii="Times New Roman" w:hAnsi="Times New Roman" w:cs="Times New Roman"/>
          <w:b/>
          <w:sz w:val="28"/>
          <w:szCs w:val="28"/>
        </w:rPr>
        <w:t xml:space="preserve">УК-68В </w:t>
      </w:r>
      <w:r>
        <w:rPr>
          <w:rFonts w:ascii="Times New Roman" w:hAnsi="Times New Roman" w:cs="Times New Roman"/>
          <w:sz w:val="28"/>
          <w:szCs w:val="28"/>
        </w:rPr>
        <w:t>предназначен для определения значения вибрации. Внутри прибора смонтирован механизм магнитоэлектрической системы, принцип работы которого основан на взаимодействии тока с магнитным полем, в результате чего подвижная часть прибора с закрепленной на ее оси стрелкой поворачивается.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>
        <w:rPr>
          <w:noProof/>
        </w:rPr>
        <w:drawing>
          <wp:inline distT="0" distB="0" distL="0" distR="0" wp14:anchorId="5B82EF12" wp14:editId="491A6FDD">
            <wp:extent cx="2638425" cy="1838325"/>
            <wp:effectExtent l="19050" t="0" r="9525" b="0"/>
            <wp:docPr id="133" name="Рисунок 4" descr="https://avatars.mds.yandex.net/i?id=9134fb88b951a522b0f8fdf0a8eddda980b7c895-125400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134fb88b951a522b0f8fdf0a8eddda980b7c895-125400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Рис 2.   Указатель УК-68В.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Датчик вибрации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МВ-03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пьезоэлектрический преобразователь, основанный на применении прямого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пьезоэффекта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Пьезоэлемент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диска выполнен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пьезокерамике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основании датчика имеется резьбовое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отверстие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вворачивается винт служащий для крепления на корпусе. К контактному гнезду подключается антивибрационный кабель, который служит для соединения датчика со входом согласующего устройства.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noProof/>
        </w:rPr>
        <w:drawing>
          <wp:inline distT="0" distB="0" distL="0" distR="0" wp14:anchorId="16424176" wp14:editId="06D60CFC">
            <wp:extent cx="2514600" cy="1628775"/>
            <wp:effectExtent l="19050" t="0" r="0" b="0"/>
            <wp:docPr id="134" name="Рисунок 7" descr="https://avatars.mds.yandex.net/i?id=da20f84406ee84402edb35dd35989bdefeb6fb3d-114465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a20f84406ee84402edb35dd35989bdefeb6fb3d-114465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Рис 3.   Датчик пьезоэлектрический МВ-03.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согласования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УСС-6 </w:t>
      </w:r>
      <w:r w:rsidRPr="00FA6C3A">
        <w:rPr>
          <w:rFonts w:ascii="Times New Roman" w:hAnsi="Times New Roman" w:cs="Times New Roman"/>
          <w:sz w:val="28"/>
          <w:szCs w:val="28"/>
        </w:rPr>
        <w:t xml:space="preserve">собрано по схеме катодного повторителя </w:t>
      </w:r>
      <w:r>
        <w:rPr>
          <w:rFonts w:ascii="Times New Roman" w:hAnsi="Times New Roman" w:cs="Times New Roman"/>
          <w:sz w:val="28"/>
          <w:szCs w:val="28"/>
        </w:rPr>
        <w:t>на лампе 6С 31Б. В кожухе блока имеется отверстие для доступа к потенциометру: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--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FA6C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для регулировки коэффициента передачи катодного повторителя;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--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FA6C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для регулировки показания стрелочного прибора при включении встроенного контроля «ВСТРОЕН. КОНТР».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5CBCCD1A" wp14:editId="52154911">
            <wp:extent cx="2324100" cy="1571625"/>
            <wp:effectExtent l="19050" t="0" r="0" b="0"/>
            <wp:docPr id="135" name="Рисунок 10" descr="https://avatars.mds.yandex.net/i?id=62ee80a6ea28b8481b0490ce3b39a83d914ae494-92120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62ee80a6ea28b8481b0490ce3b39a83d914ae494-92120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Рис 4.  Устройство согласования УСС-6.</w:t>
      </w:r>
    </w:p>
    <w:p w:rsidR="00993A7F" w:rsidRPr="00FA6C3A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2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блок </w:t>
      </w:r>
      <w:r>
        <w:rPr>
          <w:rFonts w:ascii="Times New Roman" w:hAnsi="Times New Roman" w:cs="Times New Roman"/>
          <w:b/>
          <w:sz w:val="28"/>
          <w:szCs w:val="28"/>
        </w:rPr>
        <w:t xml:space="preserve">БЭ-9Э </w:t>
      </w:r>
      <w:r>
        <w:rPr>
          <w:rFonts w:ascii="Times New Roman" w:hAnsi="Times New Roman" w:cs="Times New Roman"/>
          <w:sz w:val="28"/>
          <w:szCs w:val="28"/>
        </w:rPr>
        <w:t xml:space="preserve">состоит из двух каналов усиления и блока питания, смонтированных на общем шасси. 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15A0FD3A" wp14:editId="5C1F4AB3">
            <wp:extent cx="2867025" cy="1924050"/>
            <wp:effectExtent l="19050" t="0" r="9525" b="0"/>
            <wp:docPr id="136" name="Рисунок 13" descr="https://avatars.mds.yandex.net/i?id=094819979ca3d980d361f8baefd556a0e1365c12-98584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094819979ca3d980d361f8baefd556a0e1365c12-985842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Pr="002606CE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5. Блок электронный БЭ-9Э.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лицевой панели блока расположен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разъем  «</w:t>
      </w:r>
      <w:proofErr w:type="gramEnd"/>
      <w:r>
        <w:rPr>
          <w:rFonts w:ascii="Times New Roman" w:hAnsi="Times New Roman" w:cs="Times New Roman"/>
          <w:sz w:val="28"/>
          <w:szCs w:val="28"/>
        </w:rPr>
        <w:t>ВХОД – ВЫХОД», на который выведены входные и выходные сигналы электронного блока, а также питания от бортсети.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Разъем «КОНТРОЛЬ» обеспечивает проверку аппаратуры с помощью проверочной установки. На вертолете он закрыт заглушкой. Для обеспечения регулировки усиления каналов электронного блока и для регулировки уровней включения сигнализации на лицевую панель выведены регулировочные винты потенциометров, надписи которых означают: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«У» - усиление канала; 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«Н» - сигнализация «ПРЕВЫШ. НОРМЫ»;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«О» - сигнализация «ОПАСНО ВИБРАЦ».</w:t>
      </w:r>
    </w:p>
    <w:p w:rsidR="00993A7F" w:rsidRPr="00FA6C3A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Отверстия для регулировки потенциометров закрыты планкой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«НАСТР. КАНАЛОВ».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повышении вибрации сигнализируют табло ««ЛЕВ ДВИГ ВИБР ПОВ», «ПРАВ ДВИГ ВИБР ПОВ», «ЛЕВ ДВИГ ВИБР ОПАСН», «ПРАВ ДВИГ ВИБР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ОПАСН</w:t>
      </w:r>
      <w:proofErr w:type="gramStart"/>
      <w:r>
        <w:rPr>
          <w:rFonts w:ascii="Times New Roman" w:hAnsi="Times New Roman" w:cs="Times New Roman"/>
          <w:sz w:val="28"/>
          <w:szCs w:val="28"/>
        </w:rPr>
        <w:t>».приборной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доске.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боковой панели установлена кнопка «КОНТРОЛЬ ИВ-500» для контроля работоспособности аппаратуры ИВ-500К, при нажатии которой загораются лампы этих табло.</w:t>
      </w:r>
    </w:p>
    <w:p w:rsidR="00993A7F" w:rsidRPr="007869EF" w:rsidRDefault="00993A7F" w:rsidP="00993A7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869EF">
        <w:rPr>
          <w:rFonts w:ascii="Times New Roman" w:hAnsi="Times New Roman" w:cs="Times New Roman"/>
          <w:i/>
          <w:sz w:val="28"/>
          <w:szCs w:val="28"/>
          <w:u w:val="single"/>
        </w:rPr>
        <w:t>Основные технические данные: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ИВ</w:t>
      </w:r>
      <w:proofErr w:type="gramEnd"/>
      <w:r>
        <w:rPr>
          <w:rFonts w:ascii="Times New Roman" w:hAnsi="Times New Roman" w:cs="Times New Roman"/>
          <w:sz w:val="28"/>
          <w:szCs w:val="28"/>
        </w:rPr>
        <w:t>-500К контролирует частотный диапазон 120-340Гц;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динамическая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погрешность аппаратуры в контролируемом частотном и амплитудном диапазонах не превышает 20% от измеряемой величины;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включения сигнализации регулируется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виброскорости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 до 100мм/сек;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3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аппаратура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настройку включения сигнализации на следующие уровни: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45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мм/сек загораются табло «ЛЕВ ДВИГ ВИБР», «ПРАВ ДВИГ ВИБР»;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 60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мм/сек загораются табло «ЛЕВ ДВИГ ВЫКЛ», «ПРАВ ДВИГ ВЫКЛ»;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электронного блока от сети переменного тока 115В 400Гц; 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потребляемый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ток 0.2 А;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готовности с момента включения не превышает 3 минуты;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продолжительность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непрерывной работы 10 часов.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аппаратуре допускается замена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подрегулировок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однотипных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вибродатчиков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комплекте с согласующими устройствами и электронных блоков. При замене только датчика – для согласующего устройства требуется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подрегулировка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коэффициента передачи согласующего устройства.</w:t>
      </w:r>
    </w:p>
    <w:p w:rsidR="00993A7F" w:rsidRPr="00E757E6" w:rsidRDefault="00993A7F" w:rsidP="00993A7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757E6">
        <w:rPr>
          <w:rFonts w:ascii="Times New Roman" w:hAnsi="Times New Roman" w:cs="Times New Roman"/>
          <w:i/>
          <w:sz w:val="28"/>
          <w:szCs w:val="28"/>
          <w:u w:val="single"/>
        </w:rPr>
        <w:t>Принцип действия: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воздействии механических колебаний под воздействием силы инерции груз в датчике действует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пьезоэлемент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оси поляризации и на его гранях возникает электрический заряд, пропорциональный действующей силе. Сигнал от датчика через согласующее устройство поступает на вход электронного блока, который формирует требуемые частоты и амплитудные характеристики и обеспечивает загорание ламп сигнальных табло при возрастании уровня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виброскорости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определенных заранее заданных уровней.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Суммирующий топливомер электрический с сигнализацией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СКЭС-2027В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поплавкового типа предназначен для дистанционного измерения суммирующего запаса топлива в баках в горизонтальном полете и при стоянии вертолета на 3-х точках, а также сигнализации, как при полной заправке. Так и аварийного остатка топлива в расходном баке 300 литров.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СКЭС-2027В при суммарном замере топлива в баках не учитывает емкость правого дополнительного бака. Три сигнализатора давления СД-29А предназначены для включения табло, сигнализирующих о работе топливных насосов расходного и подвесных баков.</w:t>
      </w:r>
    </w:p>
    <w:p w:rsidR="00993A7F" w:rsidRPr="009F169F" w:rsidRDefault="00993A7F" w:rsidP="00993A7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F169F">
        <w:rPr>
          <w:rFonts w:ascii="Times New Roman" w:hAnsi="Times New Roman" w:cs="Times New Roman"/>
          <w:i/>
          <w:sz w:val="28"/>
          <w:szCs w:val="28"/>
          <w:u w:val="single"/>
        </w:rPr>
        <w:t>Комплект: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БЭ-09К на правой приборной доске;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переключатель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П-8УК на правой приборной доске;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поплавковых по одному в баке;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имитатора ИДП-1дополнительных баков, подключаются в схему топливомера при снятых дополнительных баках и устанавливаются над заливными горловинами дополнительных баков.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4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37818A72" wp14:editId="7FA913F2">
            <wp:extent cx="3171825" cy="1809750"/>
            <wp:effectExtent l="19050" t="0" r="9525" b="0"/>
            <wp:docPr id="137" name="Рисунок 1" descr="https://avatars.mds.yandex.net/i?id=f4af83283fce0a9b492e58d98c1bbd15e4cb69af-107187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4af83283fce0a9b492e58d98c1bbd15e4cb69af-107187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Рис 6.   Комплект СКЭС-2027В.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БЭ-09К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устойчивый, магнитоэлектрический логометр, показания которого отградуированы в литрах. Указатель имеет две шкалы, наружная, предназначена для отсчета при измерении суммарного запаса топлива и отградуирована от 0 до 3000 литров, с ценой деления 250 литров. Внутренняя, предназначена для измерения запаса топлива в каждом баке, отградуирована от 0 до 1000 литров с ценой деления 100 литров.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 wp14:anchorId="146F37A2" wp14:editId="09B5FA20">
            <wp:extent cx="3467100" cy="1781175"/>
            <wp:effectExtent l="19050" t="0" r="0" b="0"/>
            <wp:docPr id="138" name="Рисунок 4" descr="https://avatars.mds.yandex.net/i?id=86a1ed5ca4d882af1887b8d2c51dcafd2a0043d5-128043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86a1ed5ca4d882af1887b8d2c51dcafd2a0043d5-128043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Рис 7.   Указатель БЭ-09К и переключатель П-8УК.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Переключатель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П-8УК </w:t>
      </w:r>
      <w:r>
        <w:rPr>
          <w:rFonts w:ascii="Times New Roman" w:hAnsi="Times New Roman" w:cs="Times New Roman"/>
          <w:sz w:val="28"/>
          <w:szCs w:val="28"/>
        </w:rPr>
        <w:t>представляет собой универсальный 2-х полюсной, щеточный переключатель. Поворотом ручки переключателя на точки соответствующих баков поочередно подключаются к указателю различные датчики или все датчики одновременно.</w:t>
      </w:r>
    </w:p>
    <w:p w:rsidR="00993A7F" w:rsidRPr="00B9053A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Датчики топливомера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поплавкового типа устанавливаются в баки соответственно их маркировки.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noProof/>
        </w:rPr>
        <w:drawing>
          <wp:inline distT="0" distB="0" distL="0" distR="0" wp14:anchorId="254960EA" wp14:editId="0B17A8D5">
            <wp:extent cx="2695575" cy="1666875"/>
            <wp:effectExtent l="19050" t="0" r="9525" b="0"/>
            <wp:docPr id="139" name="Рисунок 7" descr="https://avatars.mds.yandex.net/i?id=bad272e06c257ff557d1dc94ff837a23-45719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bad272e06c257ff557d1dc94ff837a23-45719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Рис 8.   Датчик топливомера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рычажно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поплавковый.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5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Провода к датчикам подключаются к штепсельным разъемам. На колодке датчика расходного бака крепится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сигнальное 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предназначенное для сигнализации аварийного остатка топлива 300 литров.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наружи фюзеляжа, около заправочных горловин баков установлено табло «БАК ПОЛОН» с белыми светофильтрами, включенные в схему топливомера и сигнализирующие о полной заправке баков топливом.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правой приборной доске находится красное табло «ОСТАЛОСЬ 300л», включенное в схему топливомера и схему мигалка.</w:t>
      </w:r>
    </w:p>
    <w:p w:rsidR="00993A7F" w:rsidRDefault="00993A7F" w:rsidP="00993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переключения цепи топливомера на сигнализацию о заполнении баков при заправке или на контроль за исправностью ламп «БАК ПОЛОН», на средней панели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электропульта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 переключатель «ЗАПРАВКА – КОНТРОЛЬ». Цепь питания СКЭС-2027В подключается к АКК шине через АЗС «ТОПЛИВОМЕР» на панели АЗС.</w:t>
      </w:r>
    </w:p>
    <w:p w:rsidR="00993A7F" w:rsidRDefault="00993A7F" w:rsidP="00993A7F"/>
    <w:p w:rsidR="00993A7F" w:rsidRDefault="00993A7F"/>
    <w:sectPr w:rsidR="0099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D1"/>
    <w:rsid w:val="001445FE"/>
    <w:rsid w:val="00993A7F"/>
    <w:rsid w:val="00C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5812-056C-4808-A8D6-510DD1FB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2586</Words>
  <Characters>14743</Characters>
  <Application>Microsoft Office Word</Application>
  <DocSecurity>0</DocSecurity>
  <Lines>122</Lines>
  <Paragraphs>34</Paragraphs>
  <ScaleCrop>false</ScaleCrop>
  <Company/>
  <LinksUpToDate>false</LinksUpToDate>
  <CharactersWithSpaces>17295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2024-10-25T08:33:00Z</dcterms:created>
  <dcterms:modified xsi:type="dcterms:W3CDTF">2024-10-25T08:35:00Z</dcterms:modified>
</cp:coreProperties>
</file>