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7E" w:rsidRPr="005E4AB8" w:rsidRDefault="001B617E" w:rsidP="001B617E">
      <w:pPr>
        <w:spacing w:after="0"/>
        <w:jc w:val="center"/>
        <w:rPr>
          <w:sz w:val="28"/>
          <w:szCs w:val="28"/>
        </w:rPr>
      </w:pPr>
      <w:r w:rsidRPr="005E4AB8">
        <w:rPr>
          <w:sz w:val="28"/>
          <w:szCs w:val="28"/>
        </w:rPr>
        <w:t>Задание законспектировать.</w:t>
      </w:r>
    </w:p>
    <w:p w:rsidR="001B617E" w:rsidRPr="005E4AB8" w:rsidRDefault="001B617E" w:rsidP="001B617E">
      <w:pPr>
        <w:spacing w:after="0" w:line="240" w:lineRule="auto"/>
        <w:jc w:val="center"/>
        <w:rPr>
          <w:sz w:val="28"/>
          <w:szCs w:val="28"/>
        </w:rPr>
      </w:pPr>
      <w:r w:rsidRPr="005E4AB8">
        <w:rPr>
          <w:sz w:val="28"/>
          <w:szCs w:val="28"/>
        </w:rPr>
        <w:t>Фотоотчёт 1 файла конспекта прислать на эл. почту 04.05</w:t>
      </w:r>
      <w:r w:rsidR="005E4AB8" w:rsidRPr="005E4AB8">
        <w:rPr>
          <w:sz w:val="28"/>
          <w:szCs w:val="28"/>
        </w:rPr>
        <w:t xml:space="preserve">. </w:t>
      </w:r>
      <w:r w:rsidRPr="005E4AB8">
        <w:rPr>
          <w:sz w:val="28"/>
          <w:szCs w:val="28"/>
        </w:rPr>
        <w:t xml:space="preserve"> (10:10 – 11:40)</w:t>
      </w:r>
    </w:p>
    <w:p w:rsidR="005E4AB8" w:rsidRDefault="005E4AB8" w:rsidP="005E4AB8">
      <w:pPr>
        <w:spacing w:before="120" w:after="120" w:line="240" w:lineRule="auto"/>
        <w:contextualSpacing/>
        <w:jc w:val="center"/>
        <w:rPr>
          <w:b/>
          <w:sz w:val="24"/>
          <w:szCs w:val="24"/>
        </w:rPr>
      </w:pPr>
    </w:p>
    <w:p w:rsidR="005E4AB8" w:rsidRDefault="005E4AB8" w:rsidP="005E4AB8">
      <w:pPr>
        <w:spacing w:before="120" w:after="120" w:line="240" w:lineRule="auto"/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050FE1">
        <w:rPr>
          <w:b/>
          <w:sz w:val="24"/>
          <w:szCs w:val="24"/>
        </w:rPr>
        <w:t>Широкополосные усилители.</w:t>
      </w:r>
    </w:p>
    <w:p w:rsidR="005E4AB8" w:rsidRDefault="005E4AB8" w:rsidP="005E4AB8">
      <w:pPr>
        <w:spacing w:before="120" w:after="120" w:line="240" w:lineRule="auto"/>
        <w:contextualSpacing/>
        <w:jc w:val="center"/>
        <w:rPr>
          <w:b/>
          <w:sz w:val="24"/>
          <w:szCs w:val="24"/>
        </w:rPr>
      </w:pPr>
    </w:p>
    <w:p w:rsidR="005E4AB8" w:rsidRDefault="005E4AB8" w:rsidP="005E4AB8">
      <w:pPr>
        <w:spacing w:before="120" w:after="120" w:line="240" w:lineRule="auto"/>
        <w:ind w:left="113" w:firstLine="709"/>
        <w:contextualSpacing/>
        <w:jc w:val="both"/>
        <w:rPr>
          <w:rStyle w:val="a3"/>
          <w:sz w:val="24"/>
          <w:szCs w:val="24"/>
        </w:rPr>
      </w:pPr>
      <w:r w:rsidRPr="000A0A83">
        <w:rPr>
          <w:sz w:val="24"/>
          <w:szCs w:val="24"/>
          <w:shd w:val="clear" w:color="auto" w:fill="FFFFFF"/>
        </w:rPr>
        <w:t>В современной РЭА (телевизионной, измерительной, системах управления, импульсных радиолокаторах и т.д.) широкое примен</w:t>
      </w:r>
      <w:r>
        <w:rPr>
          <w:sz w:val="24"/>
          <w:szCs w:val="24"/>
          <w:shd w:val="clear" w:color="auto" w:fill="FFFFFF"/>
        </w:rPr>
        <w:t>ение находят усилители сигналов. С</w:t>
      </w:r>
      <w:r w:rsidRPr="000A0A83">
        <w:rPr>
          <w:sz w:val="24"/>
          <w:szCs w:val="24"/>
          <w:shd w:val="clear" w:color="auto" w:fill="FFFFFF"/>
        </w:rPr>
        <w:t xml:space="preserve">пектр частот </w:t>
      </w:r>
      <w:r>
        <w:rPr>
          <w:sz w:val="24"/>
          <w:szCs w:val="24"/>
          <w:shd w:val="clear" w:color="auto" w:fill="FFFFFF"/>
        </w:rPr>
        <w:t>этих сигналов находится в пределах от звуковых</w:t>
      </w:r>
      <w:r w:rsidRPr="000A0A83">
        <w:rPr>
          <w:sz w:val="24"/>
          <w:szCs w:val="24"/>
          <w:shd w:val="clear" w:color="auto" w:fill="FFFFFF"/>
        </w:rPr>
        <w:t xml:space="preserve"> частот в несколько мега</w:t>
      </w:r>
      <w:r>
        <w:rPr>
          <w:sz w:val="24"/>
          <w:szCs w:val="24"/>
          <w:shd w:val="clear" w:color="auto" w:fill="FFFFFF"/>
        </w:rPr>
        <w:t xml:space="preserve">герц </w:t>
      </w:r>
      <w:r w:rsidRPr="000A0A83">
        <w:rPr>
          <w:sz w:val="24"/>
          <w:szCs w:val="24"/>
          <w:shd w:val="clear" w:color="auto" w:fill="FFFFFF"/>
        </w:rPr>
        <w:t xml:space="preserve">– до </w:t>
      </w:r>
      <w:r>
        <w:rPr>
          <w:sz w:val="24"/>
          <w:szCs w:val="24"/>
          <w:shd w:val="clear" w:color="auto" w:fill="FFFFFF"/>
        </w:rPr>
        <w:t>частот в десятки и сот</w:t>
      </w:r>
      <w:r w:rsidRPr="000A0A83">
        <w:rPr>
          <w:sz w:val="24"/>
          <w:szCs w:val="24"/>
          <w:shd w:val="clear" w:color="auto" w:fill="FFFFFF"/>
        </w:rPr>
        <w:t>н</w:t>
      </w:r>
      <w:r>
        <w:rPr>
          <w:sz w:val="24"/>
          <w:szCs w:val="24"/>
          <w:shd w:val="clear" w:color="auto" w:fill="FFFFFF"/>
        </w:rPr>
        <w:t>и</w:t>
      </w:r>
      <w:r w:rsidRPr="000A0A83">
        <w:rPr>
          <w:sz w:val="24"/>
          <w:szCs w:val="24"/>
          <w:shd w:val="clear" w:color="auto" w:fill="FFFFFF"/>
        </w:rPr>
        <w:t xml:space="preserve"> мегагерц. Такие усилители называются </w:t>
      </w:r>
      <w:r w:rsidRPr="000A0A83">
        <w:rPr>
          <w:rStyle w:val="a3"/>
          <w:sz w:val="24"/>
          <w:szCs w:val="24"/>
        </w:rPr>
        <w:t>широкополосными.</w:t>
      </w:r>
    </w:p>
    <w:p w:rsidR="005E4AB8" w:rsidRPr="00F00406" w:rsidRDefault="005E4AB8" w:rsidP="005E4AB8">
      <w:pPr>
        <w:spacing w:before="120" w:after="120" w:line="240" w:lineRule="auto"/>
        <w:ind w:left="113" w:firstLine="709"/>
        <w:contextualSpacing/>
        <w:jc w:val="both"/>
        <w:rPr>
          <w:sz w:val="24"/>
          <w:szCs w:val="24"/>
          <w:shd w:val="clear" w:color="auto" w:fill="FFFFFF"/>
        </w:rPr>
      </w:pPr>
      <w:r w:rsidRPr="000A0A83">
        <w:rPr>
          <w:sz w:val="24"/>
          <w:szCs w:val="24"/>
        </w:rPr>
        <w:t xml:space="preserve">К широкополосным усилителям относятся и усилители видеоимпульсов, или </w:t>
      </w:r>
      <w:proofErr w:type="spellStart"/>
      <w:r w:rsidRPr="000A0A83">
        <w:rPr>
          <w:sz w:val="24"/>
          <w:szCs w:val="24"/>
        </w:rPr>
        <w:t>видеоусилители</w:t>
      </w:r>
      <w:proofErr w:type="spellEnd"/>
      <w:r w:rsidRPr="000A0A83">
        <w:rPr>
          <w:sz w:val="24"/>
          <w:szCs w:val="24"/>
        </w:rPr>
        <w:t xml:space="preserve"> (ВУС), так как частотный спектр видеоимпульсов содержит большое количество гармоник с различными частотами. Схема ВУС такая же, как и усилителя напряжения, отличается лишь значениями элементов.</w:t>
      </w:r>
    </w:p>
    <w:p w:rsidR="005E4AB8" w:rsidRPr="000A0A83" w:rsidRDefault="005E4AB8" w:rsidP="005E4AB8">
      <w:pPr>
        <w:pStyle w:val="a4"/>
        <w:shd w:val="clear" w:color="auto" w:fill="FFFFFF"/>
        <w:spacing w:before="120" w:beforeAutospacing="0" w:after="120" w:afterAutospacing="0"/>
        <w:ind w:left="113" w:firstLine="709"/>
        <w:contextualSpacing/>
        <w:jc w:val="both"/>
      </w:pPr>
      <w:r w:rsidRPr="000A0A83">
        <w:t>Для расширения полосы частот усиливаемых сигналов в широкополосных усилителях применяют коррекцию АЧХ в области нижних и высоких частот.</w:t>
      </w:r>
    </w:p>
    <w:p w:rsidR="005E4AB8" w:rsidRDefault="005E4AB8" w:rsidP="005E4AB8">
      <w:pPr>
        <w:pStyle w:val="a4"/>
        <w:shd w:val="clear" w:color="auto" w:fill="FFFFFF"/>
        <w:spacing w:before="120" w:beforeAutospacing="0" w:after="120" w:afterAutospacing="0"/>
        <w:ind w:left="113" w:firstLine="709"/>
        <w:contextualSpacing/>
        <w:jc w:val="both"/>
      </w:pPr>
      <w:r w:rsidRPr="000A0A83">
        <w:t>Для увеличения верхней граничной частоты, как это видно из выражения</w:t>
      </w:r>
    </w:p>
    <w:p w:rsidR="005E4AB8" w:rsidRPr="000A0A83" w:rsidRDefault="005E4AB8" w:rsidP="005E4AB8">
      <w:pPr>
        <w:pStyle w:val="a4"/>
        <w:shd w:val="clear" w:color="auto" w:fill="FFFFFF"/>
        <w:spacing w:before="120" w:beforeAutospacing="0" w:after="120" w:afterAutospacing="0"/>
        <w:ind w:left="113" w:firstLine="709"/>
        <w:contextualSpacing/>
        <w:jc w:val="both"/>
      </w:pPr>
    </w:p>
    <w:p w:rsidR="005E4AB8" w:rsidRDefault="005E4AB8" w:rsidP="005E4AB8">
      <w:pPr>
        <w:pStyle w:val="a4"/>
        <w:shd w:val="clear" w:color="auto" w:fill="FFFFFF"/>
        <w:spacing w:before="120" w:beforeAutospacing="0" w:after="120" w:afterAutospacing="0"/>
        <w:ind w:left="113" w:firstLine="709"/>
        <w:contextualSpacing/>
        <w:jc w:val="center"/>
      </w:pPr>
      <w:r w:rsidRPr="000A0A83">
        <w:rPr>
          <w:noProof/>
        </w:rPr>
        <w:drawing>
          <wp:inline distT="0" distB="0" distL="0" distR="0" wp14:anchorId="6013F37E" wp14:editId="78712573">
            <wp:extent cx="1882934" cy="361506"/>
            <wp:effectExtent l="38100" t="38100" r="41275" b="3873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4" t="13951" r="22866" b="-1"/>
                    <a:stretch/>
                  </pic:blipFill>
                  <pic:spPr bwMode="auto">
                    <a:xfrm>
                      <a:off x="0" y="0"/>
                      <a:ext cx="2049161" cy="393420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rgbClr val="7030A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4AB8" w:rsidRPr="000A0A83" w:rsidRDefault="005E4AB8" w:rsidP="005E4AB8">
      <w:pPr>
        <w:pStyle w:val="a4"/>
        <w:shd w:val="clear" w:color="auto" w:fill="FFFFFF"/>
        <w:spacing w:before="120" w:beforeAutospacing="0" w:after="120" w:afterAutospacing="0"/>
        <w:ind w:left="113" w:firstLine="709"/>
        <w:contextualSpacing/>
        <w:jc w:val="both"/>
      </w:pPr>
    </w:p>
    <w:p w:rsidR="005E4AB8" w:rsidRPr="000A0A83" w:rsidRDefault="005E4AB8" w:rsidP="005E4AB8">
      <w:pPr>
        <w:pStyle w:val="a4"/>
        <w:shd w:val="clear" w:color="auto" w:fill="FFFFFF"/>
        <w:spacing w:before="120" w:beforeAutospacing="0" w:after="120" w:afterAutospacing="0"/>
        <w:ind w:left="113" w:firstLine="709"/>
        <w:contextualSpacing/>
        <w:jc w:val="both"/>
      </w:pPr>
      <w:r w:rsidRPr="000A0A83">
        <w:t>необходимо уменьшать значения</w:t>
      </w:r>
      <w:proofErr w:type="gramStart"/>
      <w:r w:rsidRPr="000A0A83">
        <w:t> </w:t>
      </w:r>
      <w:r w:rsidRPr="000A0A83">
        <w:rPr>
          <w:rStyle w:val="a3"/>
          <w:i/>
          <w:iCs/>
        </w:rPr>
        <w:t>С</w:t>
      </w:r>
      <w:proofErr w:type="gramEnd"/>
      <w:r w:rsidRPr="000A0A83">
        <w:t> и </w:t>
      </w:r>
      <w:r w:rsidRPr="000A0A83">
        <w:rPr>
          <w:rStyle w:val="a3"/>
          <w:i/>
          <w:iCs/>
        </w:rPr>
        <w:t>R. </w:t>
      </w:r>
      <w:r w:rsidRPr="000A0A83">
        <w:t>Однако возможность для уменьшения эквивалентного сопротивления </w:t>
      </w:r>
      <w:r w:rsidRPr="000A0A83">
        <w:rPr>
          <w:rStyle w:val="a3"/>
          <w:i/>
          <w:iCs/>
        </w:rPr>
        <w:t>R </w:t>
      </w:r>
      <w:r w:rsidRPr="000A0A83">
        <w:t>сопровождается снижением коэффициента усиления. Эффективность каскада резисторного усилителя принято оценивать его площадью усиления.</w:t>
      </w:r>
    </w:p>
    <w:p w:rsidR="005E4AB8" w:rsidRPr="000A0A83" w:rsidRDefault="005E4AB8" w:rsidP="005E4AB8">
      <w:pPr>
        <w:pStyle w:val="a4"/>
        <w:shd w:val="clear" w:color="auto" w:fill="FFFFFF"/>
        <w:spacing w:before="120" w:beforeAutospacing="0" w:after="120" w:afterAutospacing="0"/>
        <w:ind w:left="113" w:firstLine="709"/>
        <w:contextualSpacing/>
        <w:jc w:val="both"/>
      </w:pPr>
      <w:r w:rsidRPr="000A0A83">
        <w:t>Для увеличения </w:t>
      </w:r>
      <w:proofErr w:type="spellStart"/>
      <w:proofErr w:type="gramStart"/>
      <w:r w:rsidRPr="000A0A83">
        <w:rPr>
          <w:rStyle w:val="a3"/>
          <w:i/>
          <w:iCs/>
        </w:rPr>
        <w:t>f</w:t>
      </w:r>
      <w:proofErr w:type="gramEnd"/>
      <w:r w:rsidRPr="000A0A83">
        <w:rPr>
          <w:rStyle w:val="a3"/>
          <w:i/>
          <w:iCs/>
        </w:rPr>
        <w:t>в</w:t>
      </w:r>
      <w:proofErr w:type="spellEnd"/>
      <w:r>
        <w:rPr>
          <w:rStyle w:val="a3"/>
          <w:i/>
          <w:iCs/>
        </w:rPr>
        <w:t xml:space="preserve"> </w:t>
      </w:r>
      <w:r w:rsidRPr="000A0A83">
        <w:t>при неизменном значении </w:t>
      </w:r>
      <w:proofErr w:type="spellStart"/>
      <w:r w:rsidRPr="000A0A83">
        <w:rPr>
          <w:rStyle w:val="a3"/>
          <w:i/>
          <w:iCs/>
        </w:rPr>
        <w:t>Кср</w:t>
      </w:r>
      <w:proofErr w:type="spellEnd"/>
      <w:r>
        <w:rPr>
          <w:rStyle w:val="a3"/>
          <w:i/>
          <w:iCs/>
        </w:rPr>
        <w:t xml:space="preserve"> </w:t>
      </w:r>
      <w:r w:rsidRPr="000A0A83">
        <w:t>необходимо увеличивать площадь усиления усилителя, заключенную под АЧХ в полосе пропускания. Это достигается применением активного элемента с большей крути</w:t>
      </w:r>
      <w:r>
        <w:t>зной или введением в усилитель э</w:t>
      </w:r>
      <w:r w:rsidRPr="000A0A83">
        <w:t xml:space="preserve">лементов, осуществляющих подъем АЧХ в области верхних частот, т.е. высокочастотной коррекцией АЧХ. Элементы, которые ее обеспечивают, называются элементами </w:t>
      </w:r>
      <w:r w:rsidRPr="00F00406">
        <w:rPr>
          <w:b/>
          <w:i/>
          <w:color w:val="7030A0"/>
        </w:rPr>
        <w:t>высокочастотной коррекции.</w:t>
      </w:r>
    </w:p>
    <w:p w:rsidR="005E4AB8" w:rsidRDefault="005E4AB8" w:rsidP="005E4AB8">
      <w:pPr>
        <w:pStyle w:val="a4"/>
        <w:shd w:val="clear" w:color="auto" w:fill="FFFFFF"/>
        <w:spacing w:before="120" w:beforeAutospacing="0" w:after="120" w:afterAutospacing="0"/>
        <w:ind w:left="113" w:firstLine="709"/>
        <w:contextualSpacing/>
        <w:jc w:val="both"/>
      </w:pPr>
      <w:r w:rsidRPr="000A0A83">
        <w:t>Для увеличения полосы пропускания в области нижних частот, необходимо уменьшить нижнюю граничную частоту усилителя. Это достигается с помощью низкочастотной коррекции АЧХ, которая заключается в увеличении коэффициента усиления в области нижних частот</w:t>
      </w:r>
    </w:p>
    <w:p w:rsidR="005E4AB8" w:rsidRPr="000A0A83" w:rsidRDefault="005E4AB8" w:rsidP="005E4AB8">
      <w:pPr>
        <w:pStyle w:val="a4"/>
        <w:shd w:val="clear" w:color="auto" w:fill="FFFFFF"/>
        <w:spacing w:before="120" w:beforeAutospacing="0" w:after="120" w:afterAutospacing="0"/>
        <w:ind w:left="113" w:firstLine="709"/>
        <w:contextualSpacing/>
        <w:jc w:val="both"/>
      </w:pPr>
    </w:p>
    <w:p w:rsidR="005E4AB8" w:rsidRPr="000A0A83" w:rsidRDefault="005E4AB8" w:rsidP="005E4AB8">
      <w:pPr>
        <w:pStyle w:val="a4"/>
        <w:shd w:val="clear" w:color="auto" w:fill="FFFFFF"/>
        <w:spacing w:before="120" w:beforeAutospacing="0" w:after="120" w:afterAutospacing="0"/>
        <w:contextualSpacing/>
        <w:jc w:val="both"/>
      </w:pPr>
      <w:r w:rsidRPr="000A0A83">
        <w:rPr>
          <w:noProof/>
        </w:rPr>
        <w:drawing>
          <wp:anchor distT="0" distB="0" distL="114300" distR="114300" simplePos="0" relativeHeight="251659264" behindDoc="0" locked="0" layoutInCell="1" allowOverlap="1" wp14:anchorId="27B6B693" wp14:editId="2786DA61">
            <wp:simplePos x="0" y="0"/>
            <wp:positionH relativeFrom="column">
              <wp:posOffset>3109595</wp:posOffset>
            </wp:positionH>
            <wp:positionV relativeFrom="paragraph">
              <wp:posOffset>505460</wp:posOffset>
            </wp:positionV>
            <wp:extent cx="2806700" cy="1289685"/>
            <wp:effectExtent l="38100" t="38100" r="31750" b="43815"/>
            <wp:wrapSquare wrapText="bothSides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2896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а)</w:t>
      </w:r>
      <w:r w:rsidRPr="000A0A83">
        <w:rPr>
          <w:noProof/>
        </w:rPr>
        <w:t xml:space="preserve"> </w:t>
      </w:r>
      <w:r w:rsidRPr="000A0A83">
        <w:rPr>
          <w:noProof/>
        </w:rPr>
        <w:drawing>
          <wp:inline distT="0" distB="0" distL="0" distR="0" wp14:anchorId="7B747ED2" wp14:editId="3F323859">
            <wp:extent cx="1977390" cy="1871345"/>
            <wp:effectExtent l="38100" t="38100" r="41910" b="3365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8713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r w:rsidRPr="000A0A83">
        <w:rPr>
          <w:noProof/>
        </w:rPr>
        <w:t xml:space="preserve">      </w:t>
      </w:r>
      <w:r>
        <w:rPr>
          <w:noProof/>
        </w:rPr>
        <w:t xml:space="preserve">     </w:t>
      </w:r>
      <w:r w:rsidRPr="000A0A83">
        <w:rPr>
          <w:noProof/>
        </w:rPr>
        <w:t xml:space="preserve"> </w:t>
      </w:r>
      <w:r>
        <w:rPr>
          <w:noProof/>
        </w:rPr>
        <w:t>б)</w:t>
      </w:r>
      <w:r w:rsidRPr="000A0A83">
        <w:rPr>
          <w:noProof/>
        </w:rPr>
        <w:t xml:space="preserve">           </w:t>
      </w:r>
    </w:p>
    <w:p w:rsidR="005E4AB8" w:rsidRDefault="005E4AB8" w:rsidP="005E4AB8">
      <w:pPr>
        <w:pStyle w:val="a4"/>
        <w:shd w:val="clear" w:color="auto" w:fill="FFFFFF"/>
        <w:spacing w:before="120" w:beforeAutospacing="0" w:after="120" w:afterAutospacing="0"/>
        <w:ind w:left="113" w:firstLine="709"/>
        <w:contextualSpacing/>
        <w:jc w:val="both"/>
      </w:pPr>
    </w:p>
    <w:p w:rsidR="005E4AB8" w:rsidRPr="000A0A83" w:rsidRDefault="005E4AB8" w:rsidP="005E4AB8">
      <w:pPr>
        <w:pStyle w:val="a4"/>
        <w:shd w:val="clear" w:color="auto" w:fill="FFFFFF"/>
        <w:spacing w:before="120" w:beforeAutospacing="0" w:after="120" w:afterAutospacing="0"/>
        <w:ind w:left="113" w:firstLine="709"/>
        <w:contextualSpacing/>
        <w:jc w:val="both"/>
      </w:pPr>
      <w:r w:rsidRPr="000A0A83">
        <w:t xml:space="preserve">Рис.163. Схема усилительного </w:t>
      </w:r>
      <w:proofErr w:type="gramStart"/>
      <w:r w:rsidRPr="000A0A83">
        <w:t>R</w:t>
      </w:r>
      <w:proofErr w:type="gramEnd"/>
      <w:r w:rsidRPr="000A0A83">
        <w:t>С-каскада с ВЧ коррекцией (a) и его эквивалентная схема </w:t>
      </w:r>
      <w:r w:rsidRPr="000A0A83">
        <w:rPr>
          <w:i/>
          <w:iCs/>
        </w:rPr>
        <w:t>(б)</w:t>
      </w:r>
      <w:r w:rsidRPr="000A0A83">
        <w:rPr>
          <w:noProof/>
        </w:rPr>
        <w:t xml:space="preserve"> </w:t>
      </w:r>
    </w:p>
    <w:p w:rsidR="005E4AB8" w:rsidRDefault="005E4AB8" w:rsidP="005E4AB8">
      <w:pPr>
        <w:pStyle w:val="a4"/>
        <w:shd w:val="clear" w:color="auto" w:fill="FFFFFF"/>
        <w:spacing w:before="120" w:beforeAutospacing="0" w:after="120" w:afterAutospacing="0"/>
        <w:ind w:left="113" w:firstLine="709"/>
        <w:contextualSpacing/>
        <w:jc w:val="both"/>
      </w:pPr>
    </w:p>
    <w:p w:rsidR="005E4AB8" w:rsidRDefault="005E4AB8" w:rsidP="005E4AB8">
      <w:pPr>
        <w:pStyle w:val="a4"/>
        <w:shd w:val="clear" w:color="auto" w:fill="FFFFFF"/>
        <w:spacing w:before="120" w:beforeAutospacing="0" w:after="120" w:afterAutospacing="0"/>
        <w:ind w:left="113" w:firstLine="709"/>
        <w:contextualSpacing/>
        <w:jc w:val="both"/>
      </w:pPr>
      <w:r w:rsidRPr="000A0A83">
        <w:lastRenderedPageBreak/>
        <w:t>Наиболее распространенным видом высокочастотной коррекции является включение в цепь стока или коллектора транзистора дросселя с индуктивностью</w:t>
      </w:r>
      <w:r>
        <w:t xml:space="preserve"> </w:t>
      </w:r>
      <w:r w:rsidRPr="000A0A83">
        <w:rPr>
          <w:rStyle w:val="a3"/>
          <w:i/>
          <w:iCs/>
        </w:rPr>
        <w:t>L </w:t>
      </w:r>
      <w:r w:rsidRPr="000A0A83">
        <w:t>(рис.163, </w:t>
      </w:r>
      <w:r w:rsidRPr="000A0A83">
        <w:rPr>
          <w:i/>
          <w:iCs/>
        </w:rPr>
        <w:t>а). </w:t>
      </w:r>
      <w:r w:rsidRPr="000A0A83">
        <w:t>Эквивалентная схема усилителя для области верхних частот приведена на рис.163, </w:t>
      </w:r>
      <w:r w:rsidRPr="000A0A83">
        <w:rPr>
          <w:i/>
          <w:iCs/>
        </w:rPr>
        <w:t>6. </w:t>
      </w:r>
      <w:r w:rsidRPr="000A0A83">
        <w:t>Согласно этой схеме, индуктивность </w:t>
      </w:r>
      <w:r w:rsidRPr="000A0A83">
        <w:rPr>
          <w:rStyle w:val="a3"/>
          <w:i/>
          <w:iCs/>
        </w:rPr>
        <w:t>L </w:t>
      </w:r>
      <w:r w:rsidRPr="000A0A83">
        <w:t>с емкостью</w:t>
      </w:r>
      <w:proofErr w:type="gramStart"/>
      <w:r w:rsidRPr="000A0A83">
        <w:t> </w:t>
      </w:r>
      <w:r w:rsidRPr="000A0A83">
        <w:rPr>
          <w:rStyle w:val="a3"/>
          <w:i/>
          <w:iCs/>
        </w:rPr>
        <w:t>С</w:t>
      </w:r>
      <w:proofErr w:type="gramEnd"/>
      <w:r w:rsidRPr="000A0A83">
        <w:rPr>
          <w:rStyle w:val="a3"/>
          <w:i/>
          <w:iCs/>
        </w:rPr>
        <w:t> </w:t>
      </w:r>
      <w:r w:rsidRPr="000A0A83">
        <w:t>и сопротивлением </w:t>
      </w:r>
      <w:proofErr w:type="spellStart"/>
      <w:r w:rsidRPr="000A0A83">
        <w:rPr>
          <w:rStyle w:val="a3"/>
          <w:i/>
          <w:iCs/>
        </w:rPr>
        <w:t>Rк</w:t>
      </w:r>
      <w:proofErr w:type="spellEnd"/>
      <w:r w:rsidRPr="000A0A83">
        <w:t xml:space="preserve"> образуют параллельный колебательный контур. </w:t>
      </w:r>
    </w:p>
    <w:p w:rsidR="005E4AB8" w:rsidRPr="000A0A83" w:rsidRDefault="005E4AB8" w:rsidP="005E4AB8">
      <w:pPr>
        <w:pStyle w:val="a4"/>
        <w:shd w:val="clear" w:color="auto" w:fill="FFFFFF"/>
        <w:spacing w:before="120" w:beforeAutospacing="0" w:after="120" w:afterAutospacing="0"/>
        <w:ind w:left="113" w:firstLine="709"/>
        <w:contextualSpacing/>
        <w:jc w:val="both"/>
      </w:pPr>
      <w:r w:rsidRPr="000A0A83">
        <w:t>На резонансной частоте эквивалентное сопротивление контура </w:t>
      </w:r>
      <w:proofErr w:type="spellStart"/>
      <w:proofErr w:type="gramStart"/>
      <w:r w:rsidRPr="000A0A83">
        <w:rPr>
          <w:rStyle w:val="a3"/>
          <w:i/>
          <w:iCs/>
        </w:rPr>
        <w:t>R</w:t>
      </w:r>
      <w:proofErr w:type="gramEnd"/>
      <w:r w:rsidRPr="000A0A83">
        <w:rPr>
          <w:rStyle w:val="a3"/>
          <w:i/>
          <w:iCs/>
        </w:rPr>
        <w:t>экв</w:t>
      </w:r>
      <w:proofErr w:type="spellEnd"/>
      <w:r w:rsidRPr="000A0A83">
        <w:rPr>
          <w:rStyle w:val="a3"/>
          <w:i/>
          <w:iCs/>
        </w:rPr>
        <w:t> </w:t>
      </w:r>
      <w:r w:rsidRPr="000A0A83">
        <w:t>будет больше, чем сопротивление резистора </w:t>
      </w:r>
      <w:proofErr w:type="spellStart"/>
      <w:r w:rsidRPr="000A0A83">
        <w:rPr>
          <w:rStyle w:val="a3"/>
          <w:i/>
          <w:iCs/>
        </w:rPr>
        <w:t>Rк</w:t>
      </w:r>
      <w:proofErr w:type="spellEnd"/>
      <w:r w:rsidRPr="000A0A83">
        <w:t>, вследствие чего увеличивается сопротивление нагрузки по переменному току и коэффициент усиления. Если резонансную частоту контура выбрать в области верхних частот, то из-за увеличения коэффициента усиления произойдет подъем АЧХ в этой области частот (кривая </w:t>
      </w:r>
      <w:r w:rsidRPr="000A0A83">
        <w:rPr>
          <w:i/>
          <w:iCs/>
        </w:rPr>
        <w:t>б </w:t>
      </w:r>
      <w:r w:rsidRPr="000A0A83">
        <w:t>на рис.164) и увеличение </w:t>
      </w:r>
      <w:proofErr w:type="spellStart"/>
      <w:r w:rsidRPr="000A0A83">
        <w:rPr>
          <w:rStyle w:val="a3"/>
          <w:i/>
          <w:iCs/>
        </w:rPr>
        <w:t>fв</w:t>
      </w:r>
      <w:proofErr w:type="spellEnd"/>
      <w:r w:rsidRPr="000A0A83">
        <w:t> до значения </w:t>
      </w:r>
      <w:proofErr w:type="spellStart"/>
      <w:r w:rsidRPr="000A0A83">
        <w:rPr>
          <w:rStyle w:val="a3"/>
          <w:i/>
          <w:iCs/>
        </w:rPr>
        <w:t>fв</w:t>
      </w:r>
      <w:proofErr w:type="gramStart"/>
      <w:r w:rsidRPr="000A0A83">
        <w:rPr>
          <w:rStyle w:val="a3"/>
          <w:i/>
          <w:iCs/>
        </w:rPr>
        <w:t>.к</w:t>
      </w:r>
      <w:proofErr w:type="gramEnd"/>
      <w:r w:rsidRPr="000A0A83">
        <w:rPr>
          <w:rStyle w:val="a3"/>
          <w:i/>
          <w:iCs/>
        </w:rPr>
        <w:t>ор</w:t>
      </w:r>
      <w:proofErr w:type="spellEnd"/>
      <w:r w:rsidRPr="000A0A83">
        <w:t>. При оптимальной высокочастотной индуктивной коррекции увеличение </w:t>
      </w:r>
      <w:proofErr w:type="spellStart"/>
      <w:r w:rsidRPr="000A0A83">
        <w:rPr>
          <w:rStyle w:val="a3"/>
          <w:i/>
          <w:iCs/>
        </w:rPr>
        <w:t>fв</w:t>
      </w:r>
      <w:proofErr w:type="gramStart"/>
      <w:r w:rsidRPr="000A0A83">
        <w:rPr>
          <w:rStyle w:val="a3"/>
          <w:i/>
          <w:iCs/>
        </w:rPr>
        <w:t>.к</w:t>
      </w:r>
      <w:proofErr w:type="gramEnd"/>
      <w:r w:rsidRPr="000A0A83">
        <w:rPr>
          <w:rStyle w:val="a3"/>
          <w:i/>
          <w:iCs/>
        </w:rPr>
        <w:t>ор</w:t>
      </w:r>
      <w:proofErr w:type="spellEnd"/>
      <w:r w:rsidRPr="000A0A83">
        <w:t> по сравнению с </w:t>
      </w:r>
      <w:proofErr w:type="spellStart"/>
      <w:r w:rsidRPr="000A0A83">
        <w:rPr>
          <w:rStyle w:val="a3"/>
          <w:i/>
          <w:iCs/>
        </w:rPr>
        <w:t>fв</w:t>
      </w:r>
      <w:proofErr w:type="spellEnd"/>
      <w:r w:rsidRPr="000A0A83">
        <w:t> может достигнуть 1,7 раза</w:t>
      </w:r>
    </w:p>
    <w:p w:rsidR="005E4AB8" w:rsidRPr="000A0A83" w:rsidRDefault="005E4AB8" w:rsidP="005E4AB8">
      <w:pPr>
        <w:pStyle w:val="a4"/>
        <w:shd w:val="clear" w:color="auto" w:fill="FFFFFF"/>
        <w:spacing w:before="120" w:beforeAutospacing="0" w:after="120" w:afterAutospacing="0"/>
        <w:ind w:left="113" w:firstLine="709"/>
        <w:contextualSpacing/>
        <w:jc w:val="both"/>
      </w:pPr>
    </w:p>
    <w:p w:rsidR="005E4AB8" w:rsidRDefault="005E4AB8" w:rsidP="005E4AB8">
      <w:pPr>
        <w:pStyle w:val="a4"/>
        <w:shd w:val="clear" w:color="auto" w:fill="FFFFFF"/>
        <w:spacing w:before="120" w:beforeAutospacing="0" w:after="120" w:afterAutospacing="0"/>
        <w:ind w:left="113" w:firstLine="709"/>
        <w:contextualSpacing/>
        <w:jc w:val="center"/>
      </w:pPr>
      <w:r w:rsidRPr="000A0A83">
        <w:rPr>
          <w:noProof/>
        </w:rPr>
        <w:drawing>
          <wp:inline distT="0" distB="0" distL="0" distR="0" wp14:anchorId="04A88421" wp14:editId="4FE198A4">
            <wp:extent cx="2870835" cy="1595120"/>
            <wp:effectExtent l="38100" t="38100" r="43815" b="4318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159512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5E4AB8" w:rsidRPr="000A0A83" w:rsidRDefault="005E4AB8" w:rsidP="005E4AB8">
      <w:pPr>
        <w:pStyle w:val="a4"/>
        <w:shd w:val="clear" w:color="auto" w:fill="FFFFFF"/>
        <w:spacing w:before="120" w:beforeAutospacing="0" w:after="120" w:afterAutospacing="0"/>
        <w:ind w:left="113" w:firstLine="709"/>
        <w:contextualSpacing/>
        <w:jc w:val="both"/>
      </w:pPr>
    </w:p>
    <w:p w:rsidR="005E4AB8" w:rsidRPr="000A0A83" w:rsidRDefault="005E4AB8" w:rsidP="005E4AB8">
      <w:pPr>
        <w:pStyle w:val="a4"/>
        <w:shd w:val="clear" w:color="auto" w:fill="FFFFFF"/>
        <w:spacing w:before="120" w:beforeAutospacing="0" w:after="120" w:afterAutospacing="0"/>
        <w:ind w:left="113" w:firstLine="709"/>
        <w:contextualSpacing/>
        <w:jc w:val="center"/>
      </w:pPr>
      <w:r w:rsidRPr="000A0A83">
        <w:rPr>
          <w:shd w:val="clear" w:color="auto" w:fill="FFFFFF"/>
        </w:rPr>
        <w:t>Рис. 164</w:t>
      </w:r>
      <w:r w:rsidRPr="000A0A83">
        <w:rPr>
          <w:i/>
          <w:iCs/>
          <w:shd w:val="clear" w:color="auto" w:fill="FFFFFF"/>
        </w:rPr>
        <w:t>. </w:t>
      </w:r>
      <w:r w:rsidRPr="000A0A83">
        <w:rPr>
          <w:shd w:val="clear" w:color="auto" w:fill="FFFFFF"/>
        </w:rPr>
        <w:t>Вид АЧХ усилителя с коррекцией в области верхних ча</w:t>
      </w:r>
      <w:r w:rsidRPr="000A0A83">
        <w:rPr>
          <w:shd w:val="clear" w:color="auto" w:fill="FFFFFF"/>
        </w:rPr>
        <w:softHyphen/>
        <w:t>стот</w:t>
      </w:r>
    </w:p>
    <w:p w:rsidR="005E4AB8" w:rsidRPr="000A0A83" w:rsidRDefault="005E4AB8" w:rsidP="005E4AB8">
      <w:pPr>
        <w:pStyle w:val="a4"/>
        <w:shd w:val="clear" w:color="auto" w:fill="FFFFFF"/>
        <w:spacing w:before="120" w:beforeAutospacing="0" w:after="120" w:afterAutospacing="0"/>
        <w:ind w:left="113" w:firstLine="709"/>
        <w:contextualSpacing/>
        <w:jc w:val="both"/>
      </w:pPr>
    </w:p>
    <w:p w:rsidR="00BD4B2E" w:rsidRDefault="00BD4B2E" w:rsidP="001B617E">
      <w:pPr>
        <w:spacing w:after="0"/>
        <w:jc w:val="center"/>
      </w:pPr>
    </w:p>
    <w:sectPr w:rsidR="00BD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7E"/>
    <w:rsid w:val="001B617E"/>
    <w:rsid w:val="005E4AB8"/>
    <w:rsid w:val="00BD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4AB8"/>
    <w:rPr>
      <w:b/>
      <w:bCs/>
    </w:rPr>
  </w:style>
  <w:style w:type="paragraph" w:styleId="a4">
    <w:name w:val="Normal (Web)"/>
    <w:basedOn w:val="a"/>
    <w:uiPriority w:val="99"/>
    <w:unhideWhenUsed/>
    <w:rsid w:val="005E4A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4AB8"/>
    <w:rPr>
      <w:b/>
      <w:bCs/>
    </w:rPr>
  </w:style>
  <w:style w:type="paragraph" w:styleId="a4">
    <w:name w:val="Normal (Web)"/>
    <w:basedOn w:val="a"/>
    <w:uiPriority w:val="99"/>
    <w:unhideWhenUsed/>
    <w:rsid w:val="005E4A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2024-04-30T13:05:00Z</dcterms:created>
  <dcterms:modified xsi:type="dcterms:W3CDTF">2024-04-30T13:09:00Z</dcterms:modified>
</cp:coreProperties>
</file>