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FB" w:rsidRPr="00580BFB" w:rsidRDefault="00580BFB" w:rsidP="00580BFB">
      <w:pPr>
        <w:spacing w:after="0"/>
        <w:jc w:val="center"/>
        <w:rPr>
          <w:sz w:val="28"/>
          <w:szCs w:val="28"/>
        </w:rPr>
      </w:pPr>
      <w:r w:rsidRPr="00580BFB">
        <w:rPr>
          <w:sz w:val="28"/>
          <w:szCs w:val="28"/>
        </w:rPr>
        <w:t>Задание законспектировать.</w:t>
      </w:r>
    </w:p>
    <w:p w:rsidR="00580BFB" w:rsidRPr="00580BFB" w:rsidRDefault="00580BFB" w:rsidP="00580BFB">
      <w:pPr>
        <w:spacing w:after="0"/>
        <w:jc w:val="center"/>
        <w:rPr>
          <w:sz w:val="28"/>
          <w:szCs w:val="28"/>
        </w:rPr>
      </w:pPr>
      <w:r w:rsidRPr="00580BFB">
        <w:rPr>
          <w:sz w:val="28"/>
          <w:szCs w:val="28"/>
        </w:rPr>
        <w:t xml:space="preserve">Фотоотчёт 1 файла конспекта прислать на эл. почту  </w:t>
      </w:r>
    </w:p>
    <w:p w:rsidR="00580BFB" w:rsidRPr="00580BFB" w:rsidRDefault="00580BFB" w:rsidP="00580BFB">
      <w:pPr>
        <w:spacing w:after="0" w:line="240" w:lineRule="auto"/>
        <w:jc w:val="center"/>
        <w:rPr>
          <w:b/>
          <w:sz w:val="28"/>
          <w:szCs w:val="28"/>
        </w:rPr>
      </w:pPr>
      <w:r w:rsidRPr="00580BFB">
        <w:rPr>
          <w:rFonts w:eastAsia="Times New Roman"/>
          <w:color w:val="000000"/>
          <w:sz w:val="28"/>
          <w:szCs w:val="28"/>
          <w:lang w:eastAsia="ru-RU"/>
        </w:rPr>
        <w:t xml:space="preserve">221 </w:t>
      </w:r>
      <w:proofErr w:type="gramStart"/>
      <w:r w:rsidRPr="00580BFB">
        <w:rPr>
          <w:rFonts w:eastAsia="Times New Roman"/>
          <w:color w:val="000000"/>
          <w:sz w:val="28"/>
          <w:szCs w:val="28"/>
          <w:lang w:eastAsia="ru-RU"/>
        </w:rPr>
        <w:t>ЭТН</w:t>
      </w:r>
      <w:proofErr w:type="gramEnd"/>
      <w:r w:rsidRPr="00580BF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80BFB">
        <w:rPr>
          <w:sz w:val="28"/>
          <w:szCs w:val="28"/>
        </w:rPr>
        <w:t>06.05.24.</w:t>
      </w:r>
      <w:r w:rsidRPr="00580BFB">
        <w:rPr>
          <w:rFonts w:eastAsia="Times New Roman"/>
          <w:color w:val="000000"/>
          <w:sz w:val="28"/>
          <w:szCs w:val="28"/>
          <w:lang w:eastAsia="ru-RU"/>
        </w:rPr>
        <w:t xml:space="preserve"> (40) </w:t>
      </w:r>
      <w:r w:rsidRPr="00580BFB">
        <w:rPr>
          <w:sz w:val="28"/>
          <w:szCs w:val="28"/>
        </w:rPr>
        <w:t>(11:50 -13:20)</w:t>
      </w:r>
    </w:p>
    <w:p w:rsidR="00580BFB" w:rsidRPr="00580BFB" w:rsidRDefault="00580BFB" w:rsidP="00580BFB">
      <w:pPr>
        <w:spacing w:after="0"/>
        <w:jc w:val="center"/>
        <w:rPr>
          <w:sz w:val="28"/>
          <w:szCs w:val="28"/>
        </w:rPr>
      </w:pPr>
    </w:p>
    <w:p w:rsidR="00580BFB" w:rsidRPr="00580BFB" w:rsidRDefault="00580BFB" w:rsidP="00580BFB">
      <w:pPr>
        <w:spacing w:before="120" w:after="120" w:line="240" w:lineRule="auto"/>
        <w:contextualSpacing/>
        <w:jc w:val="center"/>
        <w:rPr>
          <w:b/>
          <w:sz w:val="28"/>
          <w:szCs w:val="28"/>
        </w:rPr>
      </w:pPr>
      <w:r w:rsidRPr="00580BFB">
        <w:rPr>
          <w:b/>
          <w:sz w:val="28"/>
          <w:szCs w:val="28"/>
        </w:rPr>
        <w:t xml:space="preserve">Широкополосные усилители. </w:t>
      </w:r>
      <w:bookmarkStart w:id="0" w:name="_GoBack"/>
      <w:bookmarkEnd w:id="0"/>
    </w:p>
    <w:p w:rsidR="00580BFB" w:rsidRPr="00580BFB" w:rsidRDefault="00580BFB" w:rsidP="00580BFB">
      <w:pPr>
        <w:spacing w:before="120" w:after="120" w:line="240" w:lineRule="auto"/>
        <w:contextualSpacing/>
        <w:jc w:val="center"/>
        <w:rPr>
          <w:b/>
          <w:sz w:val="28"/>
          <w:szCs w:val="28"/>
        </w:rPr>
      </w:pPr>
    </w:p>
    <w:p w:rsidR="00580BFB" w:rsidRPr="00580BFB" w:rsidRDefault="00580BFB" w:rsidP="00580BFB">
      <w:pPr>
        <w:spacing w:before="120" w:after="120" w:line="240" w:lineRule="auto"/>
        <w:ind w:left="113" w:firstLine="709"/>
        <w:contextualSpacing/>
        <w:jc w:val="both"/>
        <w:rPr>
          <w:rStyle w:val="a3"/>
          <w:sz w:val="28"/>
          <w:szCs w:val="28"/>
        </w:rPr>
      </w:pPr>
      <w:r w:rsidRPr="00580BFB">
        <w:rPr>
          <w:sz w:val="28"/>
          <w:szCs w:val="28"/>
          <w:shd w:val="clear" w:color="auto" w:fill="FFFFFF"/>
        </w:rPr>
        <w:t>В современной РЭА (телевизионной, измерительной, системах управления, импульсных радиолокаторах и т.д.) широкое применение находят усилители сигналов. Спектр частот этих сигналов находится в пределах от звуковых частот в несколько мегагерц – до частот в десятки и сотни мегагерц. Такие усилители называются </w:t>
      </w:r>
      <w:r w:rsidRPr="00580BFB">
        <w:rPr>
          <w:rStyle w:val="a3"/>
          <w:sz w:val="28"/>
          <w:szCs w:val="28"/>
        </w:rPr>
        <w:t>широкополосными.</w:t>
      </w:r>
    </w:p>
    <w:p w:rsidR="00580BFB" w:rsidRPr="00580BFB" w:rsidRDefault="00580BFB" w:rsidP="00580BFB">
      <w:pPr>
        <w:spacing w:before="120" w:after="120" w:line="240" w:lineRule="auto"/>
        <w:ind w:left="113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0BFB">
        <w:rPr>
          <w:sz w:val="28"/>
          <w:szCs w:val="28"/>
        </w:rPr>
        <w:t xml:space="preserve">К широкополосным усилителям относятся и усилители видеоимпульсов, или </w:t>
      </w:r>
      <w:proofErr w:type="spellStart"/>
      <w:r w:rsidRPr="00580BFB">
        <w:rPr>
          <w:sz w:val="28"/>
          <w:szCs w:val="28"/>
        </w:rPr>
        <w:t>видеоусилители</w:t>
      </w:r>
      <w:proofErr w:type="spellEnd"/>
      <w:r w:rsidRPr="00580BFB">
        <w:rPr>
          <w:sz w:val="28"/>
          <w:szCs w:val="28"/>
        </w:rPr>
        <w:t xml:space="preserve"> (ВУС), так как частотный спектр видеоимпульсов содержит большое количество гармоник с различными частотами. Схема ВУС такая же, как и усилителя напряжения, отличается лишь значениями элементов.</w:t>
      </w:r>
    </w:p>
    <w:p w:rsidR="00580BFB" w:rsidRPr="00580BFB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  <w:rPr>
          <w:sz w:val="28"/>
          <w:szCs w:val="28"/>
        </w:rPr>
      </w:pPr>
      <w:r w:rsidRPr="00580BFB">
        <w:rPr>
          <w:sz w:val="28"/>
          <w:szCs w:val="28"/>
        </w:rPr>
        <w:t>Для расширения полосы частот усиливаемых сигналов в широкополосных усилителях применяют коррекцию АЧХ в области нижних и высоких частот.</w:t>
      </w:r>
    </w:p>
    <w:p w:rsidR="00580BFB" w:rsidRPr="00580BFB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  <w:rPr>
          <w:sz w:val="28"/>
          <w:szCs w:val="28"/>
        </w:rPr>
      </w:pPr>
      <w:r w:rsidRPr="00580BFB">
        <w:rPr>
          <w:sz w:val="28"/>
          <w:szCs w:val="28"/>
        </w:rPr>
        <w:t>Для увеличения верхней граничной частоты, как это видно из выражения</w:t>
      </w:r>
    </w:p>
    <w:p w:rsidR="00580BFB" w:rsidRPr="00580BFB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  <w:rPr>
          <w:sz w:val="28"/>
          <w:szCs w:val="28"/>
        </w:rPr>
      </w:pPr>
    </w:p>
    <w:p w:rsidR="00580BFB" w:rsidRPr="00580BFB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center"/>
        <w:rPr>
          <w:sz w:val="28"/>
          <w:szCs w:val="28"/>
        </w:rPr>
      </w:pPr>
      <w:r w:rsidRPr="00580BFB">
        <w:rPr>
          <w:noProof/>
          <w:sz w:val="28"/>
          <w:szCs w:val="28"/>
        </w:rPr>
        <w:drawing>
          <wp:inline distT="0" distB="0" distL="0" distR="0" wp14:anchorId="24CFEC0D" wp14:editId="579F6412">
            <wp:extent cx="1882934" cy="361506"/>
            <wp:effectExtent l="38100" t="38100" r="41275" b="3873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13951" r="22866" b="-1"/>
                    <a:stretch/>
                  </pic:blipFill>
                  <pic:spPr bwMode="auto">
                    <a:xfrm>
                      <a:off x="0" y="0"/>
                      <a:ext cx="2049161" cy="39342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необходимо уменьшать значения</w:t>
      </w:r>
      <w:proofErr w:type="gramStart"/>
      <w:r w:rsidRPr="000A0A83">
        <w:t> </w:t>
      </w:r>
      <w:r w:rsidRPr="000A0A83">
        <w:rPr>
          <w:rStyle w:val="a3"/>
          <w:i/>
          <w:iCs/>
        </w:rPr>
        <w:t>С</w:t>
      </w:r>
      <w:proofErr w:type="gramEnd"/>
      <w:r w:rsidRPr="000A0A83">
        <w:t> и </w:t>
      </w:r>
      <w:r w:rsidRPr="000A0A83">
        <w:rPr>
          <w:rStyle w:val="a3"/>
          <w:i/>
          <w:iCs/>
        </w:rPr>
        <w:t>R. </w:t>
      </w:r>
      <w:r w:rsidRPr="000A0A83">
        <w:t>Однако возможность для уменьшения эквивалентного сопротивления </w:t>
      </w:r>
      <w:r w:rsidRPr="000A0A83">
        <w:rPr>
          <w:rStyle w:val="a3"/>
          <w:i/>
          <w:iCs/>
        </w:rPr>
        <w:t>R </w:t>
      </w:r>
      <w:r w:rsidRPr="000A0A83">
        <w:t>сопровождается снижением коэффициента усиления. Эффективность каскада резисторного усилителя принято оценивать его площадью усиления.</w:t>
      </w: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Для увеличения </w:t>
      </w:r>
      <w:proofErr w:type="spellStart"/>
      <w:proofErr w:type="gramStart"/>
      <w:r w:rsidRPr="000A0A83">
        <w:rPr>
          <w:rStyle w:val="a3"/>
          <w:i/>
          <w:iCs/>
        </w:rPr>
        <w:t>f</w:t>
      </w:r>
      <w:proofErr w:type="gramEnd"/>
      <w:r w:rsidRPr="000A0A83">
        <w:rPr>
          <w:rStyle w:val="a3"/>
          <w:i/>
          <w:iCs/>
        </w:rPr>
        <w:t>в</w:t>
      </w:r>
      <w:proofErr w:type="spellEnd"/>
      <w:r>
        <w:rPr>
          <w:rStyle w:val="a3"/>
          <w:i/>
          <w:iCs/>
        </w:rPr>
        <w:t xml:space="preserve"> </w:t>
      </w:r>
      <w:r w:rsidRPr="000A0A83">
        <w:t>при неизменном значении </w:t>
      </w:r>
      <w:proofErr w:type="spellStart"/>
      <w:r w:rsidRPr="000A0A83">
        <w:rPr>
          <w:rStyle w:val="a3"/>
          <w:i/>
          <w:iCs/>
        </w:rPr>
        <w:t>Кср</w:t>
      </w:r>
      <w:proofErr w:type="spellEnd"/>
      <w:r>
        <w:rPr>
          <w:rStyle w:val="a3"/>
          <w:i/>
          <w:iCs/>
        </w:rPr>
        <w:t xml:space="preserve"> </w:t>
      </w:r>
      <w:r w:rsidRPr="000A0A83">
        <w:t>необходимо увеличивать площадь усиления усилителя, заключенную под АЧХ в полосе пропускания. Это достигается применением активного элемента с большей крути</w:t>
      </w:r>
      <w:r>
        <w:t>зной или введением в усилитель э</w:t>
      </w:r>
      <w:r w:rsidRPr="000A0A83">
        <w:t xml:space="preserve">лементов, осуществляющих подъем АЧХ в области верхних частот, т.е. высокочастотной коррекцией АЧХ. Элементы, которые ее обеспечивают, называются элементами </w:t>
      </w:r>
      <w:r w:rsidRPr="00F00406">
        <w:rPr>
          <w:b/>
          <w:i/>
          <w:color w:val="7030A0"/>
        </w:rPr>
        <w:t>высокочастотной коррекции.</w:t>
      </w:r>
    </w:p>
    <w:p w:rsidR="00580BFB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Для увеличения полосы пропускания в области нижних частот, необходимо уменьшить нижнюю граничную частоту усилителя. Это достигается с помощью низкочастотной коррекции АЧХ, которая заключается в увеличении коэффициента усиления в области нижних частот</w:t>
      </w: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contextualSpacing/>
        <w:jc w:val="both"/>
      </w:pPr>
      <w:r w:rsidRPr="000A0A8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F11CE7" wp14:editId="22EE8A82">
            <wp:simplePos x="0" y="0"/>
            <wp:positionH relativeFrom="column">
              <wp:posOffset>3109595</wp:posOffset>
            </wp:positionH>
            <wp:positionV relativeFrom="paragraph">
              <wp:posOffset>505460</wp:posOffset>
            </wp:positionV>
            <wp:extent cx="2806700" cy="1289685"/>
            <wp:effectExtent l="38100" t="38100" r="31750" b="43815"/>
            <wp:wrapSquare wrapText="bothSides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89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а)</w:t>
      </w:r>
      <w:r w:rsidRPr="000A0A83">
        <w:rPr>
          <w:noProof/>
        </w:rPr>
        <w:t xml:space="preserve"> </w:t>
      </w:r>
      <w:r w:rsidRPr="000A0A83">
        <w:rPr>
          <w:noProof/>
        </w:rPr>
        <w:drawing>
          <wp:inline distT="0" distB="0" distL="0" distR="0" wp14:anchorId="344466BB" wp14:editId="3F25F50B">
            <wp:extent cx="1977390" cy="1871345"/>
            <wp:effectExtent l="38100" t="38100" r="41910" b="3365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713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Pr="000A0A83">
        <w:rPr>
          <w:noProof/>
        </w:rPr>
        <w:t xml:space="preserve">      </w:t>
      </w:r>
      <w:r>
        <w:rPr>
          <w:noProof/>
        </w:rPr>
        <w:t xml:space="preserve">     </w:t>
      </w:r>
      <w:r w:rsidRPr="000A0A83">
        <w:rPr>
          <w:noProof/>
        </w:rPr>
        <w:t xml:space="preserve"> </w:t>
      </w:r>
      <w:r>
        <w:rPr>
          <w:noProof/>
        </w:rPr>
        <w:t>б)</w:t>
      </w:r>
      <w:r w:rsidRPr="000A0A83">
        <w:rPr>
          <w:noProof/>
        </w:rPr>
        <w:t xml:space="preserve">           </w:t>
      </w:r>
    </w:p>
    <w:p w:rsidR="00580BFB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 xml:space="preserve">Рис.163. Схема усилительного </w:t>
      </w:r>
      <w:proofErr w:type="gramStart"/>
      <w:r w:rsidRPr="000A0A83">
        <w:t>R</w:t>
      </w:r>
      <w:proofErr w:type="gramEnd"/>
      <w:r w:rsidRPr="000A0A83">
        <w:t>С-каскада с ВЧ коррекцией (a) и его эквивалентная схема </w:t>
      </w:r>
      <w:r w:rsidRPr="000A0A83">
        <w:rPr>
          <w:i/>
          <w:iCs/>
        </w:rPr>
        <w:t>(б)</w:t>
      </w:r>
      <w:r w:rsidRPr="000A0A83">
        <w:rPr>
          <w:noProof/>
        </w:rPr>
        <w:t xml:space="preserve"> </w:t>
      </w:r>
    </w:p>
    <w:p w:rsidR="00580BFB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80BFB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Наиболее распространенным видом высокочастотной коррекции является включение в цепь стока или коллектора транзистора дросселя с индуктивностью</w:t>
      </w:r>
      <w:r>
        <w:t xml:space="preserve"> </w:t>
      </w:r>
      <w:r w:rsidRPr="000A0A83">
        <w:rPr>
          <w:rStyle w:val="a3"/>
          <w:i/>
          <w:iCs/>
        </w:rPr>
        <w:t>L </w:t>
      </w:r>
      <w:r w:rsidRPr="000A0A83">
        <w:t>(рис.163, </w:t>
      </w:r>
      <w:r w:rsidRPr="000A0A83">
        <w:rPr>
          <w:i/>
          <w:iCs/>
        </w:rPr>
        <w:t>а). </w:t>
      </w:r>
      <w:r w:rsidRPr="000A0A83">
        <w:t>Эквивалентная схема усилителя для области верхних частот приведена на рис.163, </w:t>
      </w:r>
      <w:r w:rsidRPr="000A0A83">
        <w:rPr>
          <w:i/>
          <w:iCs/>
        </w:rPr>
        <w:t>6. </w:t>
      </w:r>
      <w:r w:rsidRPr="000A0A83">
        <w:t>Согласно этой схеме, индуктивность </w:t>
      </w:r>
      <w:r w:rsidRPr="000A0A83">
        <w:rPr>
          <w:rStyle w:val="a3"/>
          <w:i/>
          <w:iCs/>
        </w:rPr>
        <w:t>L </w:t>
      </w:r>
      <w:r w:rsidRPr="000A0A83">
        <w:t>с емкостью</w:t>
      </w:r>
      <w:proofErr w:type="gramStart"/>
      <w:r w:rsidRPr="000A0A83">
        <w:t> </w:t>
      </w:r>
      <w:r w:rsidRPr="000A0A83">
        <w:rPr>
          <w:rStyle w:val="a3"/>
          <w:i/>
          <w:iCs/>
        </w:rPr>
        <w:t>С</w:t>
      </w:r>
      <w:proofErr w:type="gramEnd"/>
      <w:r w:rsidRPr="000A0A83">
        <w:rPr>
          <w:rStyle w:val="a3"/>
          <w:i/>
          <w:iCs/>
        </w:rPr>
        <w:t> </w:t>
      </w:r>
      <w:r w:rsidRPr="000A0A83">
        <w:t>и сопротивлением </w:t>
      </w:r>
      <w:proofErr w:type="spellStart"/>
      <w:r w:rsidRPr="000A0A83">
        <w:rPr>
          <w:rStyle w:val="a3"/>
          <w:i/>
          <w:iCs/>
        </w:rPr>
        <w:t>Rк</w:t>
      </w:r>
      <w:proofErr w:type="spellEnd"/>
      <w:r w:rsidRPr="000A0A83">
        <w:t xml:space="preserve"> образуют параллельный колебательный контур. </w:t>
      </w: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  <w:r w:rsidRPr="000A0A83">
        <w:t>На резонансной частоте эквивалентное сопротивление контура </w:t>
      </w:r>
      <w:proofErr w:type="spellStart"/>
      <w:proofErr w:type="gramStart"/>
      <w:r w:rsidRPr="000A0A83">
        <w:rPr>
          <w:rStyle w:val="a3"/>
          <w:i/>
          <w:iCs/>
        </w:rPr>
        <w:t>R</w:t>
      </w:r>
      <w:proofErr w:type="gramEnd"/>
      <w:r w:rsidRPr="000A0A83">
        <w:rPr>
          <w:rStyle w:val="a3"/>
          <w:i/>
          <w:iCs/>
        </w:rPr>
        <w:t>экв</w:t>
      </w:r>
      <w:proofErr w:type="spellEnd"/>
      <w:r w:rsidRPr="000A0A83">
        <w:rPr>
          <w:rStyle w:val="a3"/>
          <w:i/>
          <w:iCs/>
        </w:rPr>
        <w:t> </w:t>
      </w:r>
      <w:r w:rsidRPr="000A0A83">
        <w:t>будет больше, чем сопротивление резистора </w:t>
      </w:r>
      <w:proofErr w:type="spellStart"/>
      <w:r w:rsidRPr="000A0A83">
        <w:rPr>
          <w:rStyle w:val="a3"/>
          <w:i/>
          <w:iCs/>
        </w:rPr>
        <w:t>Rк</w:t>
      </w:r>
      <w:proofErr w:type="spellEnd"/>
      <w:r w:rsidRPr="000A0A83">
        <w:t>, вследствие чего увеличивается сопротивление нагрузки по переменному току и коэффициент усиления. Если резонансную частоту контура выбрать в области верхних частот, то из-за увеличения коэффициента усиления произойдет подъем АЧХ в этой области частот (кривая </w:t>
      </w:r>
      <w:r w:rsidRPr="000A0A83">
        <w:rPr>
          <w:i/>
          <w:iCs/>
        </w:rPr>
        <w:t>б </w:t>
      </w:r>
      <w:r w:rsidRPr="000A0A83">
        <w:t>на рис.164) и увеличение </w:t>
      </w:r>
      <w:proofErr w:type="spellStart"/>
      <w:r w:rsidRPr="000A0A83">
        <w:rPr>
          <w:rStyle w:val="a3"/>
          <w:i/>
          <w:iCs/>
        </w:rPr>
        <w:t>fв</w:t>
      </w:r>
      <w:proofErr w:type="spellEnd"/>
      <w:r w:rsidRPr="000A0A83">
        <w:t> до значения </w:t>
      </w:r>
      <w:proofErr w:type="spellStart"/>
      <w:r w:rsidRPr="000A0A83">
        <w:rPr>
          <w:rStyle w:val="a3"/>
          <w:i/>
          <w:iCs/>
        </w:rPr>
        <w:t>fв</w:t>
      </w:r>
      <w:proofErr w:type="gramStart"/>
      <w:r w:rsidRPr="000A0A83">
        <w:rPr>
          <w:rStyle w:val="a3"/>
          <w:i/>
          <w:iCs/>
        </w:rPr>
        <w:t>.к</w:t>
      </w:r>
      <w:proofErr w:type="gramEnd"/>
      <w:r w:rsidRPr="000A0A83">
        <w:rPr>
          <w:rStyle w:val="a3"/>
          <w:i/>
          <w:iCs/>
        </w:rPr>
        <w:t>ор</w:t>
      </w:r>
      <w:proofErr w:type="spellEnd"/>
      <w:r w:rsidRPr="000A0A83">
        <w:t>. При оптимальной высокочастотной индуктивной коррекции увеличение </w:t>
      </w:r>
      <w:proofErr w:type="spellStart"/>
      <w:r w:rsidRPr="000A0A83">
        <w:rPr>
          <w:rStyle w:val="a3"/>
          <w:i/>
          <w:iCs/>
        </w:rPr>
        <w:t>fв</w:t>
      </w:r>
      <w:proofErr w:type="gramStart"/>
      <w:r w:rsidRPr="000A0A83">
        <w:rPr>
          <w:rStyle w:val="a3"/>
          <w:i/>
          <w:iCs/>
        </w:rPr>
        <w:t>.к</w:t>
      </w:r>
      <w:proofErr w:type="gramEnd"/>
      <w:r w:rsidRPr="000A0A83">
        <w:rPr>
          <w:rStyle w:val="a3"/>
          <w:i/>
          <w:iCs/>
        </w:rPr>
        <w:t>ор</w:t>
      </w:r>
      <w:proofErr w:type="spellEnd"/>
      <w:r w:rsidRPr="000A0A83">
        <w:t> по сравнению с </w:t>
      </w:r>
      <w:proofErr w:type="spellStart"/>
      <w:r w:rsidRPr="000A0A83">
        <w:rPr>
          <w:rStyle w:val="a3"/>
          <w:i/>
          <w:iCs/>
        </w:rPr>
        <w:t>fв</w:t>
      </w:r>
      <w:proofErr w:type="spellEnd"/>
      <w:r w:rsidRPr="000A0A83">
        <w:t> может достигнуть 1,7 раза</w:t>
      </w: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80BFB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center"/>
      </w:pPr>
      <w:r w:rsidRPr="000A0A83">
        <w:rPr>
          <w:noProof/>
        </w:rPr>
        <w:drawing>
          <wp:inline distT="0" distB="0" distL="0" distR="0" wp14:anchorId="2E366A0F" wp14:editId="788F8ABA">
            <wp:extent cx="2870835" cy="1595120"/>
            <wp:effectExtent l="38100" t="38100" r="43815" b="4318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951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center"/>
      </w:pPr>
      <w:r w:rsidRPr="000A0A83">
        <w:rPr>
          <w:shd w:val="clear" w:color="auto" w:fill="FFFFFF"/>
        </w:rPr>
        <w:t>Рис. 164</w:t>
      </w:r>
      <w:r w:rsidRPr="000A0A83">
        <w:rPr>
          <w:i/>
          <w:iCs/>
          <w:shd w:val="clear" w:color="auto" w:fill="FFFFFF"/>
        </w:rPr>
        <w:t>. </w:t>
      </w:r>
      <w:r w:rsidRPr="000A0A83">
        <w:rPr>
          <w:shd w:val="clear" w:color="auto" w:fill="FFFFFF"/>
        </w:rPr>
        <w:t>Вид АЧХ усилителя с коррекцией в области верхних ча</w:t>
      </w:r>
      <w:r w:rsidRPr="000A0A83">
        <w:rPr>
          <w:shd w:val="clear" w:color="auto" w:fill="FFFFFF"/>
        </w:rPr>
        <w:softHyphen/>
        <w:t>стот</w:t>
      </w:r>
    </w:p>
    <w:p w:rsidR="00580BFB" w:rsidRPr="000A0A83" w:rsidRDefault="00580BFB" w:rsidP="00580BFB">
      <w:pPr>
        <w:pStyle w:val="a4"/>
        <w:shd w:val="clear" w:color="auto" w:fill="FFFFFF"/>
        <w:spacing w:before="120" w:beforeAutospacing="0" w:after="120" w:afterAutospacing="0"/>
        <w:ind w:left="113" w:firstLine="709"/>
        <w:contextualSpacing/>
        <w:jc w:val="both"/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4F1851" w:rsidRDefault="004F1851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580BFB" w:rsidRPr="00D84156" w:rsidRDefault="00580BFB" w:rsidP="00580BFB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r w:rsidRPr="00D84156">
        <w:rPr>
          <w:b/>
          <w:sz w:val="24"/>
          <w:szCs w:val="24"/>
        </w:rPr>
        <w:lastRenderedPageBreak/>
        <w:t>Усилители постоянного тока. Определение. Классификация.</w:t>
      </w:r>
    </w:p>
    <w:p w:rsidR="00580BFB" w:rsidRDefault="00580BFB" w:rsidP="00580BFB">
      <w:pPr>
        <w:jc w:val="center"/>
      </w:pPr>
    </w:p>
    <w:p w:rsidR="00580BFB" w:rsidRDefault="00580BFB" w:rsidP="00580BFB">
      <w:pPr>
        <w:jc w:val="center"/>
      </w:pPr>
      <w:r>
        <w:rPr>
          <w:noProof/>
          <w:lang w:eastAsia="ru-RU"/>
        </w:rPr>
        <w:drawing>
          <wp:inline distT="0" distB="0" distL="0" distR="0" wp14:anchorId="35C9F423" wp14:editId="1FA7B237">
            <wp:extent cx="5156791" cy="3583173"/>
            <wp:effectExtent l="38100" t="38100" r="44450" b="3683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05" t="1" r="9677" b="12649"/>
                    <a:stretch/>
                  </pic:blipFill>
                  <pic:spPr bwMode="auto">
                    <a:xfrm>
                      <a:off x="0" y="0"/>
                      <a:ext cx="5163272" cy="3587676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BFB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Усилители постоянного тока</w:t>
      </w:r>
      <w:r w:rsidRPr="000A3268">
        <w:rPr>
          <w:color w:val="000000"/>
        </w:rPr>
        <w:t xml:space="preserve"> </w:t>
      </w:r>
      <w:r>
        <w:rPr>
          <w:color w:val="000000"/>
        </w:rPr>
        <w:t>предназначены</w:t>
      </w:r>
      <w:r w:rsidRPr="000A3268">
        <w:rPr>
          <w:color w:val="000000"/>
        </w:rPr>
        <w:t xml:space="preserve"> для управления электрическими колебаниями в определенном диапазоне частот начиная</w:t>
      </w:r>
      <w:proofErr w:type="gramEnd"/>
      <w:r w:rsidRPr="000A3268">
        <w:rPr>
          <w:color w:val="000000"/>
        </w:rPr>
        <w:t xml:space="preserve"> с 0 Гц. </w:t>
      </w: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Но посмотрев на форму сигналов на входе и выходе усилителя постоянного тока, можно однозначно сказать — на выходе имеется усиленный входной сигнал, однако источники энергии для входного и выходного сигналов — индивидуальные.</w:t>
      </w: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По принципу действия усилители постоянного тока подразделяются на усилители прямого усиления и усилители с преобразованием.</w:t>
      </w: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 xml:space="preserve">Усилители постоянного тока с преобразованием преобразуют ток постоянный — </w:t>
      </w:r>
      <w:proofErr w:type="gramStart"/>
      <w:r w:rsidRPr="000A3268">
        <w:rPr>
          <w:color w:val="000000"/>
        </w:rPr>
        <w:t>в</w:t>
      </w:r>
      <w:proofErr w:type="gramEnd"/>
      <w:r w:rsidRPr="000A3268">
        <w:rPr>
          <w:color w:val="000000"/>
        </w:rPr>
        <w:t xml:space="preserve"> переменный, затем он усиливается и выпрямляется. Это называется усилением сигнала с модуляцией и демодуляцией — МДМ.</w:t>
      </w:r>
    </w:p>
    <w:p w:rsidR="00580BFB" w:rsidRPr="000A3268" w:rsidRDefault="00580BFB" w:rsidP="00580BFB">
      <w:pPr>
        <w:spacing w:before="120" w:after="12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0A3268">
        <w:rPr>
          <w:color w:val="000000"/>
          <w:sz w:val="24"/>
          <w:szCs w:val="24"/>
          <w:shd w:val="clear" w:color="auto" w:fill="FFFFFF"/>
        </w:rPr>
        <w:t>Схемы усилителей прямого усиления не содержат реактивных элементов, таких как катушки индуктивности и конденсаторы, сопротивление которых зависит от частоты. Вместо этого существует непосредственная гальваническая связь выхода (коллектора или анода) усилительного элемента одного каскада с входом (базой или сеткой) очередного каскада. По этой причине усилитель прямого усиления способен пропускать (усиливать) даже </w:t>
      </w:r>
      <w:r>
        <w:rPr>
          <w:sz w:val="24"/>
          <w:szCs w:val="24"/>
        </w:rPr>
        <w:t>постоянный ток.</w:t>
      </w:r>
      <w:r w:rsidRPr="000A3268">
        <w:rPr>
          <w:color w:val="000000"/>
          <w:sz w:val="24"/>
          <w:szCs w:val="24"/>
          <w:shd w:val="clear" w:color="auto" w:fill="FFFFFF"/>
        </w:rPr>
        <w:t xml:space="preserve"> Такие схемы популярны и в акустике.</w:t>
      </w: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 xml:space="preserve">Однако непосредственная гальваническая </w:t>
      </w:r>
      <w:proofErr w:type="gramStart"/>
      <w:r w:rsidRPr="000A3268">
        <w:rPr>
          <w:color w:val="000000"/>
        </w:rPr>
        <w:t>связь</w:t>
      </w:r>
      <w:proofErr w:type="gramEnd"/>
      <w:r w:rsidRPr="000A3268">
        <w:rPr>
          <w:color w:val="000000"/>
        </w:rPr>
        <w:t xml:space="preserve"> хотя и передает очень точно между каскадами перепады напряжения и медленные изменения тока, такое решение сопряжено с нестабильностью работы усилителя, с затруднением установления режима работы усилительного элемента.</w:t>
      </w:r>
    </w:p>
    <w:p w:rsidR="00580BFB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 xml:space="preserve">Когда напряжение источников питания немного изменяется, или изменяется режим работы усилительных элементов, либо немного плывут их параметры, - тут же наблюдаются медленные изменения токов в схеме, которые по гальванически связанным </w:t>
      </w:r>
      <w:r w:rsidRPr="000A3268">
        <w:rPr>
          <w:color w:val="000000"/>
        </w:rPr>
        <w:lastRenderedPageBreak/>
        <w:t>цепям попадают во входной сигнал и соответствующим образом искажают форму сигнала на выходе. Зачастую эти паразитные изменения на выходе схожи по размаху с рабочими изменениями, вызываемыми нормальным входным сигналом.</w:t>
      </w: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</w:p>
    <w:p w:rsidR="00580BFB" w:rsidRDefault="00580BFB" w:rsidP="004F1851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center"/>
        <w:rPr>
          <w:color w:val="000000"/>
        </w:rPr>
      </w:pPr>
      <w:r w:rsidRPr="000A3268">
        <w:rPr>
          <w:noProof/>
          <w:color w:val="000000"/>
        </w:rPr>
        <w:drawing>
          <wp:inline distT="0" distB="0" distL="0" distR="0" wp14:anchorId="7F6CB71A" wp14:editId="08B95975">
            <wp:extent cx="3901597" cy="2210549"/>
            <wp:effectExtent l="38100" t="38100" r="41910" b="37465"/>
            <wp:docPr id="120" name="Рисунок 120" descr="Дрейф ну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ейф ну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16" cy="221560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</w:p>
    <w:p w:rsidR="00580BFB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Искажения выходного напряжения могут быть вызваны различными факторами. Прежде всего — внутренними процессами в элементах схемы. Нестабильное напряжение источников питания, нестабильные параметры пассивных и активных элементов схемы, особенно под действием перепадов температуры и т. д. Они могут быть вовсе не связаны с входным напряжением.</w:t>
      </w:r>
    </w:p>
    <w:p w:rsidR="00580BFB" w:rsidRPr="000A3268" w:rsidRDefault="00580BFB" w:rsidP="00580BFB">
      <w:pPr>
        <w:spacing w:before="120" w:after="120"/>
        <w:ind w:firstLine="709"/>
        <w:contextualSpacing/>
        <w:jc w:val="center"/>
        <w:rPr>
          <w:b/>
          <w:sz w:val="24"/>
          <w:szCs w:val="24"/>
        </w:rPr>
      </w:pPr>
      <w:r w:rsidRPr="000A3268">
        <w:rPr>
          <w:b/>
          <w:sz w:val="24"/>
          <w:szCs w:val="24"/>
        </w:rPr>
        <w:t>Дрейф нуля и методы его компенсации.</w:t>
      </w: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Изменения </w:t>
      </w:r>
      <w:r w:rsidRPr="000A3268">
        <w:rPr>
          <w:color w:val="000000"/>
        </w:rPr>
        <w:t xml:space="preserve">выходного </w:t>
      </w:r>
      <w:r>
        <w:rPr>
          <w:color w:val="000000"/>
        </w:rPr>
        <w:t>напряжения,</w:t>
      </w:r>
      <w:r w:rsidRPr="000A3268">
        <w:rPr>
          <w:color w:val="000000"/>
        </w:rPr>
        <w:t xml:space="preserve"> вызванные данными факторами, именуют </w:t>
      </w:r>
      <w:r w:rsidRPr="000A3268">
        <w:rPr>
          <w:b/>
          <w:i/>
          <w:color w:val="7030A0"/>
        </w:rPr>
        <w:t>дрейфом нуля</w:t>
      </w:r>
      <w:r w:rsidRPr="000A3268">
        <w:rPr>
          <w:color w:val="7030A0"/>
        </w:rPr>
        <w:t xml:space="preserve"> </w:t>
      </w:r>
      <w:r w:rsidRPr="000A3268">
        <w:rPr>
          <w:color w:val="000000"/>
        </w:rPr>
        <w:t>усилителя. Максимальное изменение выходного напряжения в отсутствие входного сигнала усилителя (когда вход замкнут) за определенный временной промежуток, называется абсолютным дрейфом.</w:t>
      </w: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 xml:space="preserve">Напряжение дрейфа, приведенное </w:t>
      </w:r>
      <w:proofErr w:type="gramStart"/>
      <w:r w:rsidRPr="000A3268">
        <w:rPr>
          <w:color w:val="000000"/>
        </w:rPr>
        <w:t>ко</w:t>
      </w:r>
      <w:proofErr w:type="gramEnd"/>
      <w:r w:rsidRPr="000A3268">
        <w:rPr>
          <w:color w:val="000000"/>
        </w:rPr>
        <w:t xml:space="preserve"> входу равно отношению абсолютного дрейфа к коэффициенту усиления данного усилителя. Это напряжение определяет чувствительность усилителя, так как вносит ограничение в минимально различимый входной сигнал.</w:t>
      </w:r>
    </w:p>
    <w:p w:rsidR="00580BFB" w:rsidRPr="000A3268" w:rsidRDefault="00580BFB" w:rsidP="00580BFB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Чтобы усилитель работал нормально, напряжение дрейфа не должно быть больше заранее определенного минимального напряжения усиливаемого сигнала, который подается на его вход. В случае если дрейф выхода окажется того же порядка или будет превышать входной сигнал, искажения превысят допустимую норму для усилителя, и его рабочая точка окажется смещенной за пределы адекватной рабочей области характеристик усилителя («дрейф нуля»).</w:t>
      </w:r>
    </w:p>
    <w:p w:rsidR="00580BFB" w:rsidRPr="004F1851" w:rsidRDefault="00580BFB" w:rsidP="004F1851">
      <w:pPr>
        <w:pStyle w:val="a4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Для снижения дрейфа нуля прибегают к следующим приемам. Во-первых, все источники напряжения и тока, питающие каскады усилителя, делают стабилизированными. Во-вторых, используют глубокую отрицательную обратную связь. В-третьих, применяют схемы компенсации температурного дрейфа путем добавления нелинейных элементов, чьи параметры зависят от температуры. В-четвертых, используют балансирующие мостовые схемы. И наконец, постоянный ток преобразуют в переменный и затем усиливают переменный ток и выпрямляют.</w:t>
      </w:r>
    </w:p>
    <w:sectPr w:rsidR="00580BFB" w:rsidRPr="004F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FB"/>
    <w:rsid w:val="004F1851"/>
    <w:rsid w:val="00580BFB"/>
    <w:rsid w:val="00BD4B2E"/>
    <w:rsid w:val="00C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BFB"/>
    <w:rPr>
      <w:b/>
      <w:bCs/>
    </w:rPr>
  </w:style>
  <w:style w:type="paragraph" w:styleId="a4">
    <w:name w:val="Normal (Web)"/>
    <w:basedOn w:val="a"/>
    <w:uiPriority w:val="99"/>
    <w:unhideWhenUsed/>
    <w:rsid w:val="00580B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BFB"/>
    <w:rPr>
      <w:b/>
      <w:bCs/>
    </w:rPr>
  </w:style>
  <w:style w:type="paragraph" w:styleId="a4">
    <w:name w:val="Normal (Web)"/>
    <w:basedOn w:val="a"/>
    <w:uiPriority w:val="99"/>
    <w:unhideWhenUsed/>
    <w:rsid w:val="00580B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2024-05-04T02:55:00Z</dcterms:created>
  <dcterms:modified xsi:type="dcterms:W3CDTF">2024-05-04T06:29:00Z</dcterms:modified>
</cp:coreProperties>
</file>