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CAA" w:rsidRPr="00470CAA" w:rsidRDefault="00470CAA" w:rsidP="00470CAA">
      <w:pPr>
        <w:spacing w:after="0"/>
        <w:jc w:val="center"/>
        <w:rPr>
          <w:sz w:val="28"/>
          <w:szCs w:val="28"/>
        </w:rPr>
      </w:pPr>
      <w:r w:rsidRPr="00470CAA">
        <w:rPr>
          <w:sz w:val="28"/>
          <w:szCs w:val="28"/>
        </w:rPr>
        <w:t>Задание  законспектировать</w:t>
      </w:r>
    </w:p>
    <w:p w:rsidR="00470CAA" w:rsidRPr="00470CAA" w:rsidRDefault="00470CAA" w:rsidP="00470CAA">
      <w:pPr>
        <w:spacing w:after="0" w:line="240" w:lineRule="auto"/>
        <w:jc w:val="center"/>
        <w:rPr>
          <w:sz w:val="28"/>
          <w:szCs w:val="28"/>
        </w:rPr>
      </w:pPr>
      <w:r w:rsidRPr="00470CAA">
        <w:rPr>
          <w:sz w:val="28"/>
          <w:szCs w:val="28"/>
        </w:rPr>
        <w:t xml:space="preserve">Фотоотчёт 1 файла прислать на эл. почту: </w:t>
      </w:r>
    </w:p>
    <w:p w:rsidR="00470CAA" w:rsidRPr="00470CAA" w:rsidRDefault="00470CAA" w:rsidP="00470CAA">
      <w:pPr>
        <w:spacing w:after="0" w:line="240" w:lineRule="auto"/>
        <w:jc w:val="center"/>
        <w:rPr>
          <w:rFonts w:eastAsia="Times New Roman"/>
          <w:b/>
          <w:color w:val="000000"/>
          <w:sz w:val="28"/>
          <w:szCs w:val="28"/>
          <w:lang w:eastAsia="ru-RU"/>
        </w:rPr>
      </w:pPr>
      <w:bookmarkStart w:id="0" w:name="_GoBack"/>
      <w:r w:rsidRPr="00470CAA">
        <w:rPr>
          <w:rFonts w:eastAsia="Times New Roman"/>
          <w:color w:val="000000"/>
          <w:sz w:val="28"/>
          <w:szCs w:val="28"/>
          <w:lang w:eastAsia="ru-RU"/>
        </w:rPr>
        <w:t xml:space="preserve">221 ЭТ (41) 08.05.24. </w:t>
      </w:r>
      <w:bookmarkEnd w:id="0"/>
      <w:r w:rsidRPr="00470CAA">
        <w:rPr>
          <w:sz w:val="28"/>
          <w:szCs w:val="28"/>
        </w:rPr>
        <w:t>(15:00 – 16:30)</w:t>
      </w:r>
    </w:p>
    <w:p w:rsidR="00470CAA" w:rsidRPr="00470CAA" w:rsidRDefault="00470CAA" w:rsidP="00470CAA">
      <w:pPr>
        <w:spacing w:before="120" w:after="120" w:line="240" w:lineRule="auto"/>
        <w:contextualSpacing/>
        <w:jc w:val="center"/>
        <w:rPr>
          <w:b/>
          <w:sz w:val="28"/>
          <w:szCs w:val="28"/>
        </w:rPr>
      </w:pPr>
      <w:r w:rsidRPr="00470CAA">
        <w:rPr>
          <w:b/>
          <w:sz w:val="28"/>
          <w:szCs w:val="28"/>
        </w:rPr>
        <w:t>Принцип действия электродвигателя постоянного тока</w:t>
      </w:r>
    </w:p>
    <w:p w:rsidR="00470CAA" w:rsidRPr="003F6449" w:rsidRDefault="00470CAA" w:rsidP="00470CAA">
      <w:pPr>
        <w:spacing w:before="120" w:after="120"/>
        <w:contextualSpacing/>
        <w:jc w:val="center"/>
        <w:rPr>
          <w:b/>
          <w:sz w:val="24"/>
          <w:szCs w:val="24"/>
        </w:rPr>
      </w:pP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ab/>
        <w:t xml:space="preserve">Если подключить машину постоянного тока к электрической сети, то </w:t>
      </w:r>
      <w:proofErr w:type="gramStart"/>
      <w:r w:rsidRPr="00B94483">
        <w:rPr>
          <w:sz w:val="24"/>
          <w:szCs w:val="24"/>
        </w:rPr>
        <w:t>через</w:t>
      </w:r>
      <w:proofErr w:type="gramEnd"/>
    </w:p>
    <w:p w:rsidR="00470CAA" w:rsidRPr="00B94483" w:rsidRDefault="00470CAA" w:rsidP="00470CAA">
      <w:pPr>
        <w:spacing w:before="120" w:after="120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обмотку якоря потечет ток </w:t>
      </w:r>
      <w:proofErr w:type="spellStart"/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</w:rPr>
        <w:t>я</w:t>
      </w:r>
      <w:proofErr w:type="spellEnd"/>
      <w:r w:rsidRPr="00B94483">
        <w:rPr>
          <w:sz w:val="24"/>
          <w:szCs w:val="24"/>
        </w:rPr>
        <w:t xml:space="preserve">.  На проводнике обмотки якоря, находящиеся в магнитном поле возбуждения, будут действовать электромагнитные силы. Эти силы создадут вращающий момент; под </w:t>
      </w:r>
      <w:proofErr w:type="gramStart"/>
      <w:r w:rsidRPr="00B94483">
        <w:rPr>
          <w:sz w:val="24"/>
          <w:szCs w:val="24"/>
        </w:rPr>
        <w:t>действием</w:t>
      </w:r>
      <w:proofErr w:type="gramEnd"/>
      <w:r w:rsidRPr="00B94483">
        <w:rPr>
          <w:sz w:val="24"/>
          <w:szCs w:val="24"/>
        </w:rPr>
        <w:t xml:space="preserve"> которого якорь будет раскручиваться. </w:t>
      </w: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В обмотке якоря электродвигателя, так же как и в обмотке генератора, </w:t>
      </w:r>
      <w:proofErr w:type="gramStart"/>
      <w:r w:rsidRPr="00B94483">
        <w:rPr>
          <w:sz w:val="24"/>
          <w:szCs w:val="24"/>
        </w:rPr>
        <w:t xml:space="preserve">наводится ЭДС  </w:t>
      </w:r>
      <w:r w:rsidRPr="00B94483">
        <w:rPr>
          <w:i/>
          <w:sz w:val="24"/>
          <w:szCs w:val="24"/>
        </w:rPr>
        <w:t>Е</w:t>
      </w:r>
      <w:r w:rsidRPr="00B94483">
        <w:rPr>
          <w:sz w:val="24"/>
          <w:szCs w:val="24"/>
        </w:rPr>
        <w:t>.  Только теперь её направление будет</w:t>
      </w:r>
      <w:proofErr w:type="gramEnd"/>
      <w:r w:rsidRPr="00B94483">
        <w:rPr>
          <w:sz w:val="24"/>
          <w:szCs w:val="24"/>
        </w:rPr>
        <w:t xml:space="preserve"> встречно току </w:t>
      </w:r>
      <w:proofErr w:type="spellStart"/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</w:rPr>
        <w:t>я</w:t>
      </w:r>
      <w:proofErr w:type="spellEnd"/>
      <w:r w:rsidRPr="00B94483">
        <w:rPr>
          <w:sz w:val="24"/>
          <w:szCs w:val="24"/>
        </w:rPr>
        <w:t xml:space="preserve">, в чём легко убедиться, применив правило правой руки. Эта ЭДС называется встречной или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>-ЭДС.</w:t>
      </w:r>
    </w:p>
    <w:p w:rsidR="00470CAA" w:rsidRDefault="00470CAA" w:rsidP="00470CAA">
      <w:pPr>
        <w:spacing w:before="120" w:after="120"/>
        <w:ind w:firstLine="709"/>
        <w:contextualSpacing/>
        <w:jc w:val="both"/>
        <w:rPr>
          <w:rFonts w:eastAsiaTheme="minorEastAsia"/>
          <w:sz w:val="24"/>
          <w:szCs w:val="24"/>
        </w:rPr>
      </w:pPr>
      <w:r w:rsidRPr="00B94483">
        <w:rPr>
          <w:sz w:val="24"/>
          <w:szCs w:val="24"/>
        </w:rPr>
        <w:t xml:space="preserve">По второму закону Кирхгофа </w:t>
      </w:r>
      <w:r w:rsidRPr="00B94483">
        <w:rPr>
          <w:i/>
          <w:sz w:val="24"/>
          <w:szCs w:val="24"/>
        </w:rPr>
        <w:t>U-E</w:t>
      </w:r>
      <w:r w:rsidRPr="00B94483">
        <w:rPr>
          <w:sz w:val="24"/>
          <w:szCs w:val="24"/>
        </w:rPr>
        <w:t>=</w:t>
      </w:r>
      <w:proofErr w:type="spellStart"/>
      <w:r w:rsidRPr="00B94483">
        <w:rPr>
          <w:sz w:val="24"/>
          <w:szCs w:val="24"/>
        </w:rPr>
        <w:t>Ӏя</w:t>
      </w:r>
      <w:proofErr w:type="spellEnd"/>
      <w:r w:rsidRPr="00B94483">
        <w:rPr>
          <w:sz w:val="24"/>
          <w:szCs w:val="24"/>
        </w:rPr>
        <w:t xml:space="preserve"> ∙</w:t>
      </w:r>
      <w:proofErr w:type="spellStart"/>
      <w:r w:rsidRPr="00B94483">
        <w:rPr>
          <w:sz w:val="24"/>
          <w:szCs w:val="24"/>
        </w:rPr>
        <w:t>Rя</w:t>
      </w:r>
      <w:proofErr w:type="spellEnd"/>
      <w:r w:rsidRPr="00B94483">
        <w:rPr>
          <w:sz w:val="24"/>
          <w:szCs w:val="24"/>
        </w:rPr>
        <w:t xml:space="preserve"> или</w:t>
      </w:r>
      <w:proofErr w:type="gramStart"/>
      <w:r w:rsidRPr="00B94483">
        <w:rPr>
          <w:sz w:val="24"/>
          <w:szCs w:val="24"/>
        </w:rPr>
        <w:t xml:space="preserve"> Е</w:t>
      </w:r>
      <w:proofErr w:type="gramEnd"/>
      <w:r w:rsidRPr="00B94483">
        <w:rPr>
          <w:sz w:val="24"/>
          <w:szCs w:val="24"/>
        </w:rPr>
        <w:t xml:space="preserve">=U -ӀЯ∙ </w:t>
      </w:r>
      <m:oMath>
        <m:r>
          <w:rPr>
            <w:rFonts w:ascii="Cambria Math" w:hAnsi="Cambria Math"/>
            <w:sz w:val="24"/>
            <w:szCs w:val="24"/>
          </w:rPr>
          <m:t>Rя</m:t>
        </m:r>
      </m:oMath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/>
        <w:ind w:firstLine="709"/>
        <w:contextualSpacing/>
        <w:jc w:val="center"/>
        <w:rPr>
          <w:sz w:val="36"/>
          <w:szCs w:val="36"/>
          <w:vertAlign w:val="subscript"/>
        </w:rPr>
      </w:pPr>
      <w:r w:rsidRPr="00B94483">
        <w:rPr>
          <w:i/>
          <w:noProof/>
          <w:sz w:val="36"/>
          <w:szCs w:val="36"/>
          <w:lang w:eastAsia="ru-RU"/>
        </w:rPr>
        <w:t>Ӏ</w:t>
      </w:r>
      <w:r w:rsidRPr="00B94483">
        <w:rPr>
          <w:noProof/>
          <w:sz w:val="36"/>
          <w:szCs w:val="36"/>
          <w:vertAlign w:val="subscript"/>
          <w:lang w:eastAsia="ru-RU"/>
        </w:rPr>
        <w:t>Я</w:t>
      </w:r>
      <w:r w:rsidRPr="00B94483">
        <w:rPr>
          <w:noProof/>
          <w:sz w:val="36"/>
          <w:szCs w:val="36"/>
          <w:lang w:eastAsia="ru-RU"/>
        </w:rPr>
        <w:t xml:space="preserve"> =</w:t>
      </w:r>
      <m:oMath>
        <m:r>
          <w:rPr>
            <w:rFonts w:ascii="Cambria Math" w:hAnsi="Cambria Math"/>
            <w:noProof/>
            <w:sz w:val="36"/>
            <w:szCs w:val="36"/>
            <w:lang w:eastAsia="ru-RU"/>
          </w:rPr>
          <m:t xml:space="preserve"> </m:t>
        </m:r>
        <m:box>
          <m:boxPr>
            <m:ctrlPr>
              <w:rPr>
                <w:rFonts w:ascii="Cambria Math" w:hAnsi="Cambria Math"/>
                <w:i/>
                <w:noProof/>
                <w:sz w:val="36"/>
                <w:szCs w:val="36"/>
                <w:lang w:eastAsia="ru-RU"/>
              </w:rPr>
            </m:ctrlPr>
          </m:boxPr>
          <m:e>
            <m:argPr>
              <m:argSz m:val="-1"/>
            </m:argPr>
            <m:f>
              <m:fPr>
                <m:ctrlPr>
                  <w:rPr>
                    <w:rFonts w:ascii="Cambria Math" w:hAnsi="Cambria Math"/>
                    <w:i/>
                    <w:noProof/>
                    <w:sz w:val="36"/>
                    <w:szCs w:val="36"/>
                    <w:lang w:eastAsia="ru-RU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sz w:val="36"/>
                    <w:szCs w:val="36"/>
                    <w:lang w:eastAsia="ru-RU"/>
                  </w:rPr>
                  <m:t>U-Е</m:t>
                </m:r>
              </m:num>
              <m:den>
                <m:r>
                  <w:rPr>
                    <w:rFonts w:ascii="Cambria Math" w:hAnsi="Cambria Math"/>
                    <w:sz w:val="36"/>
                    <w:szCs w:val="36"/>
                  </w:rPr>
                  <m:t>R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36"/>
                    <w:szCs w:val="36"/>
                  </w:rPr>
                  <m:t>я</m:t>
                </m:r>
              </m:den>
            </m:f>
          </m:e>
        </m:box>
      </m:oMath>
      <w:r w:rsidRPr="00B94483">
        <w:rPr>
          <w:rFonts w:eastAsiaTheme="minorEastAsia"/>
          <w:noProof/>
          <w:sz w:val="36"/>
          <w:szCs w:val="36"/>
          <w:lang w:eastAsia="ru-RU"/>
        </w:rPr>
        <w:t xml:space="preserve">  </w:t>
      </w:r>
      <w:r w:rsidRPr="00B94483">
        <w:rPr>
          <w:noProof/>
          <w:sz w:val="36"/>
          <w:szCs w:val="36"/>
          <w:lang w:eastAsia="ru-RU"/>
        </w:rPr>
        <w:t xml:space="preserve">   </w:t>
      </w:r>
      <w:r w:rsidRPr="00B94483">
        <w:rPr>
          <w:noProof/>
          <w:sz w:val="36"/>
          <w:szCs w:val="36"/>
          <w:lang w:eastAsia="ru-RU"/>
        </w:rPr>
        <w:br/>
      </w: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При работе машины электродвигателем ЭДС меньше напряжения на зажимах</w:t>
      </w:r>
    </w:p>
    <w:p w:rsidR="00470CAA" w:rsidRDefault="00470CAA" w:rsidP="00470CAA">
      <w:pPr>
        <w:spacing w:before="120" w:after="120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якоря на падение  напряжения в обмотке якоря. Если механическая нагрузка на валу двигателя отсутствует, то вращающему  моменту двигателя препятствуют только моменты трения и скорость вращения якоря достигает максимального значения. Через обмотку якоря протекает минимальный ток. Соответственно, электрическая  мощность, потребляемая из сети, минимальна. </w:t>
      </w:r>
    </w:p>
    <w:p w:rsidR="00470CAA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При подключении механической нагрузки скорость вращения якоря уменьшится, уменьшится и величина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 xml:space="preserve"> - ЭДС. </w:t>
      </w:r>
      <w:proofErr w:type="gramStart"/>
      <w:r w:rsidRPr="00B94483">
        <w:rPr>
          <w:sz w:val="24"/>
          <w:szCs w:val="24"/>
        </w:rPr>
        <w:t>Ток и электр</w:t>
      </w:r>
      <w:r>
        <w:rPr>
          <w:sz w:val="24"/>
          <w:szCs w:val="24"/>
        </w:rPr>
        <w:t xml:space="preserve">ическая мощность, потребляемые </w:t>
      </w:r>
      <w:r w:rsidRPr="00B94483">
        <w:rPr>
          <w:sz w:val="24"/>
          <w:szCs w:val="24"/>
        </w:rPr>
        <w:t>двигателем из сети, возрастут.</w:t>
      </w:r>
      <w:proofErr w:type="gramEnd"/>
      <w:r w:rsidRPr="00B94483">
        <w:rPr>
          <w:sz w:val="24"/>
          <w:szCs w:val="24"/>
        </w:rPr>
        <w:t xml:space="preserve">  Следовательно,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 xml:space="preserve"> - ЭДС является фактором, регулирующим потребление мощности из сети.</w:t>
      </w:r>
    </w:p>
    <w:p w:rsidR="00470CAA" w:rsidRDefault="00470CAA" w:rsidP="00470CAA">
      <w:pPr>
        <w:spacing w:before="120" w:after="120" w:line="240" w:lineRule="auto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 w:line="240" w:lineRule="auto"/>
        <w:contextualSpacing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Pr="00B94483">
        <w:rPr>
          <w:b/>
          <w:sz w:val="24"/>
          <w:szCs w:val="24"/>
        </w:rPr>
        <w:t>Типы электродвигателей постоянного тока и их характеристики.</w:t>
      </w:r>
    </w:p>
    <w:p w:rsidR="00470CAA" w:rsidRPr="003F6449" w:rsidRDefault="00470CAA" w:rsidP="00470CAA">
      <w:pPr>
        <w:spacing w:before="120" w:after="120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Электродвигатели постоянного тока различают, как и генераторы, в зависимости от схемы возбуждения.  Аналогия обусловлена обратимостью электрических машин. Рабочие характеристики и эксплуатационные свойства </w:t>
      </w:r>
      <w:proofErr w:type="gramStart"/>
      <w:r w:rsidRPr="00B94483">
        <w:rPr>
          <w:sz w:val="24"/>
          <w:szCs w:val="24"/>
        </w:rPr>
        <w:t>существенно различны</w:t>
      </w:r>
      <w:proofErr w:type="gramEnd"/>
      <w:r w:rsidRPr="00B94483">
        <w:rPr>
          <w:sz w:val="24"/>
          <w:szCs w:val="24"/>
        </w:rPr>
        <w:t>, поэтому далее они рассмотрен</w:t>
      </w:r>
      <w:r>
        <w:rPr>
          <w:sz w:val="24"/>
          <w:szCs w:val="24"/>
        </w:rPr>
        <w:t xml:space="preserve">ы отдельно для каждого </w:t>
      </w:r>
      <w:r w:rsidRPr="00B94483">
        <w:rPr>
          <w:sz w:val="24"/>
          <w:szCs w:val="24"/>
        </w:rPr>
        <w:t>типа двигателя.</w:t>
      </w:r>
    </w:p>
    <w:p w:rsidR="00470CAA" w:rsidRDefault="00470CAA" w:rsidP="00470CAA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</w:p>
    <w:p w:rsidR="00470CAA" w:rsidRPr="00847767" w:rsidRDefault="00470CAA" w:rsidP="00470CAA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  <w:r w:rsidRPr="00847767">
        <w:rPr>
          <w:b/>
          <w:sz w:val="24"/>
          <w:szCs w:val="24"/>
        </w:rPr>
        <w:t>Характеристики двигателя параллельного возбуждения.</w:t>
      </w: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Схема включения в сеть двигателя параллельного возбуждения изображена на рис. 10.1. Обмотка якоря включается в сеть через ступенчатый пусковой реостат </w:t>
      </w:r>
      <w:proofErr w:type="gramStart"/>
      <w:r w:rsidRPr="00B94483">
        <w:rPr>
          <w:sz w:val="24"/>
          <w:szCs w:val="24"/>
        </w:rPr>
        <w:t>R</w:t>
      </w:r>
      <w:proofErr w:type="gramEnd"/>
      <w:r w:rsidRPr="00B94483">
        <w:rPr>
          <w:sz w:val="24"/>
          <w:szCs w:val="24"/>
          <w:vertAlign w:val="subscript"/>
        </w:rPr>
        <w:t>П</w:t>
      </w:r>
      <w:r>
        <w:rPr>
          <w:sz w:val="24"/>
          <w:szCs w:val="24"/>
        </w:rPr>
        <w:t>,</w:t>
      </w:r>
      <w:r w:rsidRPr="00B94483">
        <w:rPr>
          <w:sz w:val="24"/>
          <w:szCs w:val="24"/>
        </w:rPr>
        <w:t xml:space="preserve"> обмотка возбуждения через реостат </w:t>
      </w:r>
      <w:proofErr w:type="spellStart"/>
      <w:r w:rsidRPr="00B94483">
        <w:rPr>
          <w:sz w:val="24"/>
          <w:szCs w:val="24"/>
        </w:rPr>
        <w:t>Rш</w:t>
      </w:r>
      <w:proofErr w:type="spellEnd"/>
      <w:r w:rsidRPr="00B94483">
        <w:rPr>
          <w:sz w:val="24"/>
          <w:szCs w:val="24"/>
        </w:rPr>
        <w:t>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ACCACC4" wp14:editId="790CCAB2">
            <wp:extent cx="3878728" cy="2804673"/>
            <wp:effectExtent l="38100" t="38100" r="45720" b="342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351"/>
                    <a:stretch/>
                  </pic:blipFill>
                  <pic:spPr bwMode="auto">
                    <a:xfrm>
                      <a:off x="0" y="0"/>
                      <a:ext cx="3878177" cy="2804274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8064A2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b/>
          <w:i/>
          <w:sz w:val="24"/>
          <w:szCs w:val="24"/>
        </w:rPr>
        <w:t>Механической характеристикой</w:t>
      </w:r>
      <w:r w:rsidRPr="00B94483">
        <w:rPr>
          <w:sz w:val="24"/>
          <w:szCs w:val="24"/>
        </w:rPr>
        <w:t xml:space="preserve"> называется зависимость установившейся частоты вращения от момента двигателя при постоянном напряжении питания. Она представлена на рис. 10.2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inline distT="0" distB="0" distL="0" distR="0" wp14:anchorId="7AC901AD" wp14:editId="0C524329">
            <wp:extent cx="2949017" cy="1406178"/>
            <wp:effectExtent l="38100" t="38100" r="41910" b="4191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4070" cy="1408587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Рис. 10.2.Механическая характеристика двигателя параллельного возбуждения. 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Как видно из рисунка, скорость вращения двигателей при изменении тормозного момента в широких пределах изменяется незначительно. Поэтому говорят, что двигатели параллельного возбуждения имеют жёсткую механическую характеристику. Она остаётся жёсткой до Н=</w:t>
      </w:r>
      <w:proofErr w:type="spellStart"/>
      <w:r w:rsidRPr="00B94483">
        <w:rPr>
          <w:sz w:val="24"/>
          <w:szCs w:val="24"/>
        </w:rPr>
        <w:t>Мном</w:t>
      </w:r>
      <w:proofErr w:type="spellEnd"/>
      <w:r w:rsidRPr="00B94483">
        <w:rPr>
          <w:sz w:val="24"/>
          <w:szCs w:val="24"/>
        </w:rPr>
        <w:t>, а затем круто обрывается вниз.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Рабочими характеристиками называются зависимости частоты вращения n, тока Ӏ, вращающего момента М и коэффициента полезного действия η от полезной мощности на валу двигателя при постоянном напряжении цепей якоря и возбуждения (</w:t>
      </w:r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  <w:vertAlign w:val="subscript"/>
        </w:rPr>
        <w:t xml:space="preserve">B </w:t>
      </w:r>
      <w:r w:rsidRPr="00B94483">
        <w:rPr>
          <w:sz w:val="24"/>
          <w:szCs w:val="24"/>
        </w:rPr>
        <w:t>= const)</w:t>
      </w:r>
      <w:proofErr w:type="gramStart"/>
      <w:r w:rsidRPr="00B94483">
        <w:rPr>
          <w:sz w:val="24"/>
          <w:szCs w:val="24"/>
        </w:rPr>
        <w:t>.</w:t>
      </w:r>
      <w:proofErr w:type="gramEnd"/>
      <w:r w:rsidRPr="00B94483">
        <w:rPr>
          <w:sz w:val="24"/>
          <w:szCs w:val="24"/>
        </w:rPr>
        <w:t xml:space="preserve"> (</w:t>
      </w:r>
      <w:proofErr w:type="gramStart"/>
      <w:r w:rsidRPr="00B94483">
        <w:rPr>
          <w:sz w:val="24"/>
          <w:szCs w:val="24"/>
        </w:rPr>
        <w:t>р</w:t>
      </w:r>
      <w:proofErr w:type="gramEnd"/>
      <w:r w:rsidRPr="00B94483">
        <w:rPr>
          <w:sz w:val="24"/>
          <w:szCs w:val="24"/>
        </w:rPr>
        <w:t>ис 10.3). Двигатель параллельного возбуждения обладает малым пусковым моментом, «боится» перегрузок.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proofErr w:type="spellStart"/>
      <w:r w:rsidRPr="00B94483">
        <w:rPr>
          <w:sz w:val="24"/>
          <w:szCs w:val="24"/>
        </w:rPr>
        <w:t>Mn</w:t>
      </w:r>
      <w:proofErr w:type="spellEnd"/>
      <w:r w:rsidRPr="00B94483">
        <w:rPr>
          <w:sz w:val="24"/>
          <w:szCs w:val="24"/>
        </w:rPr>
        <w:t xml:space="preserve"> =(1.5-2) </w:t>
      </w:r>
      <w:proofErr w:type="spellStart"/>
      <w:r w:rsidRPr="00B94483">
        <w:rPr>
          <w:sz w:val="24"/>
          <w:szCs w:val="24"/>
        </w:rPr>
        <w:t>Мном</w:t>
      </w:r>
      <w:proofErr w:type="spellEnd"/>
      <w:r w:rsidRPr="00B94483">
        <w:rPr>
          <w:sz w:val="24"/>
          <w:szCs w:val="24"/>
        </w:rPr>
        <w:t>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inline distT="0" distB="0" distL="0" distR="0" wp14:anchorId="712D34E6" wp14:editId="6E535922">
            <wp:extent cx="2789466" cy="1807535"/>
            <wp:effectExtent l="38100" t="38100" r="30480" b="406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3328" cy="1810038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70CAA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lastRenderedPageBreak/>
        <w:t>Рис. 10.3 Рабочие характеристики двигателя параллельного возбуждения</w:t>
      </w:r>
    </w:p>
    <w:p w:rsidR="00470CAA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Указанные свойства ограничивают применение этого двигателя в самолётном электроприводе. Постоянство скорости позволяет использовать его механизмах времени.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 w:line="240" w:lineRule="auto"/>
        <w:ind w:firstLine="709"/>
        <w:contextualSpacing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 </w:t>
      </w:r>
      <w:r w:rsidRPr="00B94483">
        <w:rPr>
          <w:b/>
          <w:sz w:val="24"/>
          <w:szCs w:val="24"/>
        </w:rPr>
        <w:t>Характеристики двигателя последовательного возбуждения.</w:t>
      </w:r>
    </w:p>
    <w:p w:rsidR="00470CAA" w:rsidRPr="00B94483" w:rsidRDefault="00470CAA" w:rsidP="00470CAA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В двигателях последовательного возбуждения обмотка возбуждения включена  последовательно с обмоткой якоря (рис. 10.4). Механическая характеристика двигателя мягкая (рис. 10.5). При холостом ходе двигателя частота вращения неограниченно возрастает, двигатель идёт «вразнос». 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0E8F57AE" wp14:editId="2C235819">
            <wp:simplePos x="0" y="0"/>
            <wp:positionH relativeFrom="column">
              <wp:posOffset>46355</wp:posOffset>
            </wp:positionH>
            <wp:positionV relativeFrom="paragraph">
              <wp:posOffset>132715</wp:posOffset>
            </wp:positionV>
            <wp:extent cx="2636520" cy="2689860"/>
            <wp:effectExtent l="38100" t="38100" r="30480" b="3429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3" t="3297" r="5468" b="4029"/>
                    <a:stretch/>
                  </pic:blipFill>
                  <pic:spPr bwMode="auto">
                    <a:xfrm>
                      <a:off x="0" y="0"/>
                      <a:ext cx="2636520" cy="2689860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Это может привести к механическим повреждениям (поломка бандажей, выпучивание обмотки якоря и пластин коллектора).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62F77F29" wp14:editId="4BD63E0E">
            <wp:simplePos x="0" y="0"/>
            <wp:positionH relativeFrom="column">
              <wp:posOffset>126365</wp:posOffset>
            </wp:positionH>
            <wp:positionV relativeFrom="paragraph">
              <wp:posOffset>221615</wp:posOffset>
            </wp:positionV>
            <wp:extent cx="3079750" cy="1498600"/>
            <wp:effectExtent l="38100" t="38100" r="44450" b="4445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1498600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Рис.10.5 Механическая характеристика                      Рис. 10.4 Схема включения                               двигателя последовательного                                                                                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двигателя последовательного</w:t>
      </w:r>
      <w:r w:rsidRPr="000B465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                возбуждения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возбуждения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</w:t>
      </w:r>
    </w:p>
    <w:p w:rsidR="00470CAA" w:rsidRDefault="00470CAA" w:rsidP="00470CAA">
      <w:pPr>
        <w:spacing w:before="120" w:after="120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</w:t>
      </w:r>
    </w:p>
    <w:p w:rsidR="00470CAA" w:rsidRPr="00B94483" w:rsidRDefault="00470CAA" w:rsidP="00470CAA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 Работа двигателя без нагрузки и при нагрузках меньших (25 - 30)% от </w:t>
      </w:r>
      <w:proofErr w:type="spellStart"/>
      <w:r w:rsidRPr="00B94483">
        <w:rPr>
          <w:sz w:val="24"/>
          <w:szCs w:val="24"/>
        </w:rPr>
        <w:t>Рном</w:t>
      </w:r>
      <w:proofErr w:type="spellEnd"/>
      <w:r w:rsidRPr="00B94483">
        <w:rPr>
          <w:sz w:val="24"/>
          <w:szCs w:val="24"/>
        </w:rPr>
        <w:t xml:space="preserve"> недопустима. С ростом нагрузки частота вращения резко уменьшается (участок I)</w:t>
      </w:r>
      <w:proofErr w:type="gramStart"/>
      <w:r w:rsidRPr="00B94483">
        <w:rPr>
          <w:sz w:val="24"/>
          <w:szCs w:val="24"/>
        </w:rPr>
        <w:t>.</w:t>
      </w:r>
      <w:proofErr w:type="gramEnd"/>
      <w:r w:rsidRPr="00B94483">
        <w:rPr>
          <w:sz w:val="24"/>
          <w:szCs w:val="24"/>
        </w:rPr>
        <w:t xml:space="preserve">  </w:t>
      </w:r>
      <w:proofErr w:type="gramStart"/>
      <w:r w:rsidRPr="00B94483">
        <w:rPr>
          <w:sz w:val="24"/>
          <w:szCs w:val="24"/>
        </w:rPr>
        <w:t>а</w:t>
      </w:r>
      <w:proofErr w:type="gramEnd"/>
      <w:r w:rsidRPr="00B94483">
        <w:rPr>
          <w:sz w:val="24"/>
          <w:szCs w:val="24"/>
        </w:rPr>
        <w:t xml:space="preserve"> после насыщения магнитной цепи плавно уменьшается с ростом нагрузки (участок I</w:t>
      </w:r>
      <w:r w:rsidRPr="00B94483">
        <w:rPr>
          <w:sz w:val="24"/>
          <w:szCs w:val="24"/>
          <w:lang w:val="en-US"/>
        </w:rPr>
        <w:t>I</w:t>
      </w:r>
      <w:r w:rsidRPr="00B94483">
        <w:rPr>
          <w:sz w:val="24"/>
          <w:szCs w:val="24"/>
        </w:rPr>
        <w:t>). Двигатель не «боится» перегрузок, имеет большой пусковой момент, что очень важно в самолётном электроприводе.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М</w:t>
      </w:r>
      <w:r w:rsidRPr="00B94483">
        <w:rPr>
          <w:sz w:val="24"/>
          <w:szCs w:val="24"/>
          <w:vertAlign w:val="subscript"/>
        </w:rPr>
        <w:t xml:space="preserve">П </w:t>
      </w:r>
      <w:r w:rsidRPr="00B94483">
        <w:rPr>
          <w:sz w:val="24"/>
          <w:szCs w:val="24"/>
        </w:rPr>
        <w:t xml:space="preserve"> =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 (З-5</w:t>
      </w:r>
      <w:proofErr w:type="gramStart"/>
      <w:r w:rsidRPr="00B94483">
        <w:rPr>
          <w:sz w:val="24"/>
          <w:szCs w:val="24"/>
        </w:rPr>
        <w:t xml:space="preserve"> )</w:t>
      </w:r>
      <w:proofErr w:type="gramEnd"/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М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ном.</w:t>
      </w:r>
    </w:p>
    <w:p w:rsidR="00470CAA" w:rsidRDefault="00470CAA" w:rsidP="00470CAA">
      <w:pPr>
        <w:spacing w:before="120" w:after="120" w:line="240" w:lineRule="auto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Двигатель последовательного возбуждения применяется для запуска </w:t>
      </w:r>
      <w:r>
        <w:rPr>
          <w:sz w:val="24"/>
          <w:szCs w:val="24"/>
        </w:rPr>
        <w:t>автомобилей (стартер</w:t>
      </w:r>
      <w:r w:rsidRPr="00B94483">
        <w:rPr>
          <w:sz w:val="24"/>
          <w:szCs w:val="24"/>
        </w:rPr>
        <w:t>), в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электрифицированном транспорте и в самолётном электроприводе.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Характеристики </w:t>
      </w:r>
      <w:r>
        <w:rPr>
          <w:sz w:val="24"/>
          <w:szCs w:val="24"/>
        </w:rPr>
        <w:t xml:space="preserve"> двигателя со</w:t>
      </w:r>
      <w:r w:rsidRPr="00B94483">
        <w:rPr>
          <w:sz w:val="24"/>
          <w:szCs w:val="24"/>
        </w:rPr>
        <w:t xml:space="preserve"> смешанным возбуждением.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Электрическая схема двигателя сме</w:t>
      </w:r>
      <w:r>
        <w:rPr>
          <w:sz w:val="24"/>
          <w:szCs w:val="24"/>
        </w:rPr>
        <w:t xml:space="preserve">шанного возбуждения изображена на </w:t>
      </w:r>
      <w:r w:rsidRPr="00B94483">
        <w:rPr>
          <w:sz w:val="24"/>
          <w:szCs w:val="24"/>
        </w:rPr>
        <w:t xml:space="preserve"> рис. 10.7. Он имеет</w:t>
      </w:r>
      <w:r>
        <w:rPr>
          <w:sz w:val="24"/>
          <w:szCs w:val="24"/>
        </w:rPr>
        <w:t xml:space="preserve"> </w:t>
      </w:r>
      <w:r w:rsidRPr="003B637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5178A15" wp14:editId="23193028">
            <wp:simplePos x="0" y="0"/>
            <wp:positionH relativeFrom="column">
              <wp:posOffset>-12073</wp:posOffset>
            </wp:positionH>
            <wp:positionV relativeFrom="paragraph">
              <wp:posOffset>-51616</wp:posOffset>
            </wp:positionV>
            <wp:extent cx="2388235" cy="1864360"/>
            <wp:effectExtent l="38100" t="38100" r="31115" b="4064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00"/>
                    <a:stretch/>
                  </pic:blipFill>
                  <pic:spPr bwMode="auto">
                    <a:xfrm>
                      <a:off x="0" y="0"/>
                      <a:ext cx="2388235" cy="1864360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37D">
        <w:rPr>
          <w:sz w:val="24"/>
          <w:szCs w:val="24"/>
        </w:rPr>
        <w:t>последовательную и параллельную обмотки возбуждения расположенные на главных полюсах, обладает частично свойствами  двигателей параллельного и  последовательного</w:t>
      </w:r>
      <w:r w:rsidRPr="00C45C9D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возбуждения</w:t>
      </w:r>
      <w:proofErr w:type="gramStart"/>
      <w:r w:rsidRPr="00CB256B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О</w:t>
      </w:r>
      <w:proofErr w:type="gramEnd"/>
      <w:r w:rsidRPr="003B637D">
        <w:rPr>
          <w:sz w:val="24"/>
          <w:szCs w:val="24"/>
        </w:rPr>
        <w:t>бе обмотки</w:t>
      </w:r>
      <w:r w:rsidRPr="00C45C9D">
        <w:rPr>
          <w:sz w:val="24"/>
          <w:szCs w:val="24"/>
        </w:rPr>
        <w:t xml:space="preserve"> 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 xml:space="preserve">Рис. 10.6 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 Рабочие</w:t>
      </w:r>
      <w:r>
        <w:rPr>
          <w:sz w:val="24"/>
          <w:szCs w:val="24"/>
        </w:rPr>
        <w:t xml:space="preserve">                                 </w:t>
      </w:r>
      <w:r w:rsidRPr="00B94483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двигателя</w:t>
      </w:r>
      <w:r>
        <w:rPr>
          <w:sz w:val="24"/>
          <w:szCs w:val="24"/>
        </w:rPr>
        <w:t xml:space="preserve">   </w:t>
      </w:r>
      <w:r w:rsidRPr="003B637D">
        <w:rPr>
          <w:sz w:val="24"/>
          <w:szCs w:val="24"/>
        </w:rPr>
        <w:t>соединяются т</w:t>
      </w:r>
      <w:r>
        <w:rPr>
          <w:sz w:val="24"/>
          <w:szCs w:val="24"/>
        </w:rPr>
        <w:t xml:space="preserve">ак, </w:t>
      </w:r>
      <w:r w:rsidRPr="00CB256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чтобы их МДС,  а 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>характеристики</w:t>
      </w:r>
      <w:r>
        <w:rPr>
          <w:sz w:val="24"/>
          <w:szCs w:val="24"/>
        </w:rPr>
        <w:t xml:space="preserve"> </w:t>
      </w:r>
      <w:proofErr w:type="gramStart"/>
      <w:r w:rsidRPr="00B94483">
        <w:rPr>
          <w:sz w:val="24"/>
          <w:szCs w:val="24"/>
        </w:rPr>
        <w:t>последовательного</w:t>
      </w:r>
      <w:proofErr w:type="gramEnd"/>
      <w:r>
        <w:rPr>
          <w:sz w:val="24"/>
          <w:szCs w:val="24"/>
        </w:rPr>
        <w:t xml:space="preserve">     </w:t>
      </w:r>
      <w:r w:rsidRPr="00166B7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значит  и   </w:t>
      </w:r>
      <w:r w:rsidRPr="003B637D">
        <w:rPr>
          <w:sz w:val="24"/>
          <w:szCs w:val="24"/>
        </w:rPr>
        <w:t>магнитные потоки,</w:t>
      </w:r>
      <w:r w:rsidRPr="00CB256B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складывались.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>возбуждения.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</w:t>
      </w:r>
    </w:p>
    <w:p w:rsidR="00470CAA" w:rsidRDefault="00470CAA" w:rsidP="00470CAA">
      <w:pPr>
        <w:spacing w:before="120" w:after="120" w:line="240" w:lineRule="auto"/>
        <w:contextualSpacing/>
        <w:rPr>
          <w:sz w:val="24"/>
          <w:szCs w:val="24"/>
        </w:rPr>
      </w:pPr>
    </w:p>
    <w:p w:rsidR="00470CAA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185930FF" wp14:editId="30B95E89">
            <wp:simplePos x="0" y="0"/>
            <wp:positionH relativeFrom="column">
              <wp:posOffset>-67945</wp:posOffset>
            </wp:positionH>
            <wp:positionV relativeFrom="paragraph">
              <wp:posOffset>13970</wp:posOffset>
            </wp:positionV>
            <wp:extent cx="2654300" cy="2861945"/>
            <wp:effectExtent l="38100" t="38100" r="31750" b="33655"/>
            <wp:wrapTight wrapText="bothSides">
              <wp:wrapPolygon edited="0">
                <wp:start x="-310" y="-288"/>
                <wp:lineTo x="-310" y="21710"/>
                <wp:lineTo x="21703" y="21710"/>
                <wp:lineTo x="21703" y="-288"/>
                <wp:lineTo x="-310" y="-288"/>
              </wp:wrapPolygon>
            </wp:wrapTight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861945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4483">
        <w:rPr>
          <w:sz w:val="24"/>
          <w:szCs w:val="24"/>
        </w:rPr>
        <w:t>Характеристики этого двигателя являются промежуточными между характеристиками двигателей параллельного и последовательного возбуждения. Двигатели смешанного возбуждения применяются как двигатели для электроприводов с использованием маховиков (ножницы, прессы), в качестве тяговых и крановых двигателей, для привода прокатных станов, компрессоров, насосов. На самолёте их применяют в том случае, если возможна работа на холостом ходу.</w:t>
      </w:r>
    </w:p>
    <w:p w:rsidR="00470CAA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470CAA" w:rsidRPr="00B94483" w:rsidRDefault="00470CAA" w:rsidP="00470CAA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470CAA" w:rsidRDefault="00470CAA" w:rsidP="00470CAA">
      <w:pPr>
        <w:spacing w:before="120" w:after="120" w:line="240" w:lineRule="auto"/>
        <w:ind w:firstLine="709"/>
        <w:contextualSpacing/>
        <w:jc w:val="center"/>
        <w:rPr>
          <w:b/>
          <w:sz w:val="24"/>
          <w:szCs w:val="24"/>
        </w:rPr>
      </w:pPr>
    </w:p>
    <w:p w:rsidR="00BD4B2E" w:rsidRDefault="00BD4B2E" w:rsidP="00470CAA"/>
    <w:sectPr w:rsidR="00BD4B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CAA"/>
    <w:rsid w:val="00470CAA"/>
    <w:rsid w:val="00BD4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32"/>
        <w:szCs w:val="3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C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C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0C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32"/>
        <w:szCs w:val="3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C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C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0C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842</Words>
  <Characters>4806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2024-05-04T04:44:00Z</dcterms:created>
  <dcterms:modified xsi:type="dcterms:W3CDTF">2024-05-04T04:49:00Z</dcterms:modified>
</cp:coreProperties>
</file>