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03" w:rsidRDefault="00247456">
      <w:pPr>
        <w:rPr>
          <w:rFonts w:ascii="Times New Roman" w:hAnsi="Times New Roman" w:cs="Times New Roman"/>
          <w:b/>
          <w:sz w:val="28"/>
          <w:szCs w:val="28"/>
        </w:rPr>
      </w:pPr>
      <w:r w:rsidRPr="00247456">
        <w:rPr>
          <w:rFonts w:ascii="Times New Roman" w:hAnsi="Times New Roman" w:cs="Times New Roman"/>
          <w:b/>
          <w:sz w:val="28"/>
          <w:szCs w:val="28"/>
        </w:rPr>
        <w:t>321 гр. САУП</w:t>
      </w:r>
    </w:p>
    <w:p w:rsidR="00131050" w:rsidRDefault="00131050">
      <w:pPr>
        <w:rPr>
          <w:rFonts w:ascii="Times New Roman" w:hAnsi="Times New Roman" w:cs="Times New Roman"/>
          <w:b/>
          <w:sz w:val="28"/>
          <w:szCs w:val="28"/>
        </w:rPr>
      </w:pPr>
    </w:p>
    <w:p w:rsidR="00131050" w:rsidRPr="00131050" w:rsidRDefault="00131050" w:rsidP="001310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>Занятие 2</w:t>
      </w:r>
    </w:p>
    <w:p w:rsidR="00131050" w:rsidRPr="00131050" w:rsidRDefault="00131050" w:rsidP="00131050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>Основные технические данные.</w:t>
      </w:r>
    </w:p>
    <w:p w:rsidR="00131050" w:rsidRPr="00131050" w:rsidRDefault="00131050" w:rsidP="00131050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>Комплект автопилота.</w:t>
      </w:r>
    </w:p>
    <w:p w:rsidR="00131050" w:rsidRPr="00131050" w:rsidRDefault="00131050" w:rsidP="001310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050" w:rsidRPr="00131050" w:rsidRDefault="00131050" w:rsidP="00131050">
      <w:pPr>
        <w:numPr>
          <w:ilvl w:val="0"/>
          <w:numId w:val="2"/>
        </w:numPr>
        <w:spacing w:after="0" w:line="360" w:lineRule="auto"/>
        <w:ind w:hanging="7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>1. Время готовности к включению                      не более 100 сек</w:t>
      </w:r>
    </w:p>
    <w:p w:rsidR="00131050" w:rsidRPr="00131050" w:rsidRDefault="00131050" w:rsidP="001310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Зона углов, в пределах которых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возможно включение и управление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автопилотом:   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по  крену                        </w:t>
      </w:r>
      <w:r w:rsidRPr="00131050"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Pr="0013105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по тангажу                    </w:t>
      </w:r>
      <w:r w:rsidRPr="00131050"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13105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</w:p>
    <w:p w:rsidR="00131050" w:rsidRPr="00131050" w:rsidRDefault="00131050" w:rsidP="001310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Автопилот работает при длительном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пребывании всех агрегатов в диапазоне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температур внешней среды                               от +50</w:t>
      </w:r>
      <w:r w:rsidRPr="0013105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131050">
        <w:rPr>
          <w:rFonts w:ascii="Times New Roman" w:eastAsia="Calibri" w:hAnsi="Times New Roman" w:cs="Times New Roman"/>
          <w:sz w:val="28"/>
          <w:szCs w:val="28"/>
        </w:rPr>
        <w:t>С до -60</w:t>
      </w:r>
      <w:r w:rsidRPr="0013105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131050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в условиях высоты                                             до 12000 м</w:t>
      </w:r>
    </w:p>
    <w:p w:rsidR="00131050" w:rsidRPr="00131050" w:rsidRDefault="00131050" w:rsidP="001310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Скорость  приведения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к  горизонту :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по  крену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         4 </w:t>
      </w:r>
      <w:r w:rsidRPr="0013105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131050">
        <w:rPr>
          <w:rFonts w:ascii="Times New Roman" w:eastAsia="Calibri" w:hAnsi="Times New Roman" w:cs="Times New Roman"/>
          <w:sz w:val="28"/>
          <w:szCs w:val="28"/>
        </w:rPr>
        <w:t>/</w:t>
      </w:r>
      <w:r w:rsidRPr="00131050">
        <w:rPr>
          <w:rFonts w:ascii="Times New Roman" w:eastAsia="Calibri" w:hAnsi="Times New Roman" w:cs="Times New Roman"/>
          <w:sz w:val="28"/>
          <w:szCs w:val="28"/>
          <w:vertAlign w:val="subscript"/>
        </w:rPr>
        <w:t>сек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по  тангажу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     0,7 </w:t>
      </w:r>
      <w:r w:rsidRPr="0013105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131050">
        <w:rPr>
          <w:rFonts w:ascii="Times New Roman" w:eastAsia="Calibri" w:hAnsi="Times New Roman" w:cs="Times New Roman"/>
          <w:sz w:val="28"/>
          <w:szCs w:val="28"/>
        </w:rPr>
        <w:t>/</w:t>
      </w:r>
      <w:r w:rsidRPr="00131050">
        <w:rPr>
          <w:rFonts w:ascii="Times New Roman" w:eastAsia="Calibri" w:hAnsi="Times New Roman" w:cs="Times New Roman"/>
          <w:sz w:val="28"/>
          <w:szCs w:val="28"/>
          <w:vertAlign w:val="subscript"/>
        </w:rPr>
        <w:t>сек</w:t>
      </w:r>
    </w:p>
    <w:p w:rsidR="00131050" w:rsidRPr="00131050" w:rsidRDefault="00131050" w:rsidP="001310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Питание  автопилота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осуществляется :</w:t>
      </w:r>
    </w:p>
    <w:p w:rsidR="00131050" w:rsidRPr="00131050" w:rsidRDefault="00131050" w:rsidP="00131050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а)  постоянным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током  напряжением                   27 В  </w:t>
      </w:r>
      <w:r w:rsidRPr="00131050"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10 </w:t>
      </w:r>
      <w:r w:rsidRPr="0013105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131050">
        <w:rPr>
          <w:rFonts w:ascii="Times New Roman" w:eastAsia="Calibri" w:hAnsi="Times New Roman" w:cs="Times New Roman"/>
          <w:sz w:val="28"/>
          <w:szCs w:val="28"/>
        </w:rPr>
        <w:t>/</w:t>
      </w:r>
      <w:r w:rsidRPr="00131050">
        <w:rPr>
          <w:rFonts w:ascii="Times New Roman" w:eastAsia="Calibri" w:hAnsi="Times New Roman" w:cs="Times New Roman"/>
          <w:sz w:val="28"/>
          <w:szCs w:val="28"/>
          <w:vertAlign w:val="subscript"/>
        </w:rPr>
        <w:t>о</w:t>
      </w:r>
    </w:p>
    <w:p w:rsidR="00131050" w:rsidRPr="00131050" w:rsidRDefault="00131050" w:rsidP="001310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б)  переменным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трехфазным  током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напряжением                       36 В </w:t>
      </w:r>
      <w:r w:rsidRPr="00131050"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r w:rsidRPr="0013105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131050">
        <w:rPr>
          <w:rFonts w:ascii="Times New Roman" w:eastAsia="Calibri" w:hAnsi="Times New Roman" w:cs="Times New Roman"/>
          <w:sz w:val="28"/>
          <w:szCs w:val="28"/>
        </w:rPr>
        <w:t>/</w:t>
      </w:r>
      <w:r w:rsidRPr="00131050">
        <w:rPr>
          <w:rFonts w:ascii="Times New Roman" w:eastAsia="Calibri" w:hAnsi="Times New Roman" w:cs="Times New Roman"/>
          <w:sz w:val="28"/>
          <w:szCs w:val="28"/>
          <w:vertAlign w:val="subscript"/>
        </w:rPr>
        <w:t>о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частотой                              400 Гц </w:t>
      </w:r>
      <w:r w:rsidRPr="00131050"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13105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131050">
        <w:rPr>
          <w:rFonts w:ascii="Times New Roman" w:eastAsia="Calibri" w:hAnsi="Times New Roman" w:cs="Times New Roman"/>
          <w:sz w:val="28"/>
          <w:szCs w:val="28"/>
        </w:rPr>
        <w:t>/</w:t>
      </w:r>
      <w:r w:rsidRPr="00131050">
        <w:rPr>
          <w:rFonts w:ascii="Times New Roman" w:eastAsia="Calibri" w:hAnsi="Times New Roman" w:cs="Times New Roman"/>
          <w:sz w:val="28"/>
          <w:szCs w:val="28"/>
          <w:vertAlign w:val="subscript"/>
        </w:rPr>
        <w:t>о</w:t>
      </w:r>
    </w:p>
    <w:p w:rsidR="00131050" w:rsidRPr="00131050" w:rsidRDefault="00131050" w:rsidP="001310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в)  переменным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трехфазным  током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напряжением                       115 В </w:t>
      </w:r>
      <w:r w:rsidRPr="00131050"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Pr="0013105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131050">
        <w:rPr>
          <w:rFonts w:ascii="Times New Roman" w:eastAsia="Calibri" w:hAnsi="Times New Roman" w:cs="Times New Roman"/>
          <w:sz w:val="28"/>
          <w:szCs w:val="28"/>
        </w:rPr>
        <w:t>/</w:t>
      </w:r>
      <w:r w:rsidRPr="00131050">
        <w:rPr>
          <w:rFonts w:ascii="Times New Roman" w:eastAsia="Calibri" w:hAnsi="Times New Roman" w:cs="Times New Roman"/>
          <w:sz w:val="28"/>
          <w:szCs w:val="28"/>
          <w:vertAlign w:val="subscript"/>
        </w:rPr>
        <w:t>о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частотой                              400 Гц </w:t>
      </w:r>
      <w:r w:rsidRPr="00131050"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131050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131050">
        <w:rPr>
          <w:rFonts w:ascii="Times New Roman" w:eastAsia="Calibri" w:hAnsi="Times New Roman" w:cs="Times New Roman"/>
          <w:sz w:val="28"/>
          <w:szCs w:val="28"/>
        </w:rPr>
        <w:t>/</w:t>
      </w:r>
      <w:r w:rsidRPr="00131050">
        <w:rPr>
          <w:rFonts w:ascii="Times New Roman" w:eastAsia="Calibri" w:hAnsi="Times New Roman" w:cs="Times New Roman"/>
          <w:sz w:val="28"/>
          <w:szCs w:val="28"/>
          <w:vertAlign w:val="subscript"/>
        </w:rPr>
        <w:t>о</w:t>
      </w:r>
    </w:p>
    <w:p w:rsidR="00131050" w:rsidRPr="00131050" w:rsidRDefault="00131050" w:rsidP="001310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Потребляемая  мощность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по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постоянному  току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не  более  125 Вт</w:t>
      </w:r>
    </w:p>
    <w:p w:rsidR="00131050" w:rsidRPr="00131050" w:rsidRDefault="00131050" w:rsidP="001310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Потребляемый  переменный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не  более  3 А  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трехфазный  ток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36 В 400 Гц                              в  каждой  фазе</w:t>
      </w:r>
    </w:p>
    <w:p w:rsidR="00131050" w:rsidRPr="00131050" w:rsidRDefault="00131050" w:rsidP="001310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Потребляемая  мощность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по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переменному  трехфазному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току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115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В  400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Гц :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от  стабилизированной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фазы                             не  более  320 ВА</w:t>
      </w:r>
    </w:p>
    <w:p w:rsidR="00131050" w:rsidRPr="00131050" w:rsidRDefault="00131050" w:rsidP="0013105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от  нестабилизированной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фазы                         не  более  800 ВА</w:t>
      </w:r>
    </w:p>
    <w:p w:rsidR="00131050" w:rsidRPr="00131050" w:rsidRDefault="00131050" w:rsidP="0013105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050" w:rsidRPr="00131050" w:rsidRDefault="00131050" w:rsidP="0013105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В  комплект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автопилота  входят :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Агрегат  управления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АУ – 1056                                          1 шт.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Датчик  угловых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скоростей  ДУС – 970В                           1 шт.  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Пульт  управления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ПУ – 1248                                             1 шт.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Корректор  высоты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КВ – 11                                                1 шт.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Рулевые  машины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:  РМ – 5023Б – К                                    1 шт.</w:t>
      </w:r>
    </w:p>
    <w:p w:rsidR="00131050" w:rsidRPr="00131050" w:rsidRDefault="00131050" w:rsidP="00131050">
      <w:pPr>
        <w:spacing w:after="0" w:line="36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РМ – 5023Б – Т                                    1 шт.</w:t>
      </w:r>
    </w:p>
    <w:p w:rsidR="00131050" w:rsidRPr="00131050" w:rsidRDefault="00131050" w:rsidP="00131050">
      <w:pPr>
        <w:spacing w:after="0" w:line="36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РМ – 5023Б – Н                                    1 шт.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Блок  связи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с  курсовой  системой  БС – 1408А                  1 шт.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Блок  реле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БР – 1444                                                             1 шт.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Блок  триммирования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БТ – 1426А                                       1 шт.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Усилитель  рулевых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машин  УРМ – 5026Б                          1 шт.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Блок  усилителей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фазочувствительных  БУФ – 5185ТБ      1 шт.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Триммерная  машина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МТ – 5061Б                                       1 шт.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Датчики  предельных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отклонений  руля  ДПОР – 1158А   2 шт.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Задатчик  курса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ЗК – 2                                                          1 шт.</w:t>
      </w:r>
    </w:p>
    <w:p w:rsidR="00131050" w:rsidRPr="00131050" w:rsidRDefault="00131050" w:rsidP="001310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Кнопки  отключения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КНР – 512                                            2 шт.</w:t>
      </w:r>
    </w:p>
    <w:p w:rsidR="00131050" w:rsidRPr="00131050" w:rsidRDefault="00131050" w:rsidP="001310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С  каждым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автопилотом  поставляется  эксплуатационный  инструмент  и  запчасти.  </w:t>
      </w:r>
      <w:proofErr w:type="gramStart"/>
      <w:r w:rsidRPr="00131050">
        <w:rPr>
          <w:rFonts w:ascii="Times New Roman" w:eastAsia="Calibri" w:hAnsi="Times New Roman" w:cs="Times New Roman"/>
          <w:sz w:val="28"/>
          <w:szCs w:val="28"/>
        </w:rPr>
        <w:t>Блок  связи</w:t>
      </w:r>
      <w:proofErr w:type="gramEnd"/>
      <w:r w:rsidRPr="00131050">
        <w:rPr>
          <w:rFonts w:ascii="Times New Roman" w:eastAsia="Calibri" w:hAnsi="Times New Roman" w:cs="Times New Roman"/>
          <w:sz w:val="28"/>
          <w:szCs w:val="28"/>
        </w:rPr>
        <w:t xml:space="preserve">  с  курсовой  системой  БС – 1408А  может  применяться  только  второй  серии.  </w:t>
      </w:r>
    </w:p>
    <w:p w:rsidR="00131050" w:rsidRDefault="00131050" w:rsidP="0013105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789" w:rsidRDefault="00641789" w:rsidP="0013105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A6B" w:rsidRPr="002A3A6B" w:rsidRDefault="002A3A6B" w:rsidP="002A3A6B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A3A6B" w:rsidRPr="002A3A6B" w:rsidRDefault="002A3A6B" w:rsidP="002A3A6B">
      <w:pPr>
        <w:pageBreakBefore/>
        <w:shd w:val="clear" w:color="auto" w:fill="FFFFFF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221 гр.  Метрология</w:t>
      </w:r>
    </w:p>
    <w:p w:rsid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6B" w:rsidRPr="002A3A6B" w:rsidRDefault="002A3A6B" w:rsidP="002A3A6B">
      <w:pPr>
        <w:pStyle w:val="a3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требований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качеству продукции</w:t>
      </w:r>
    </w:p>
    <w:p w:rsidR="002A3A6B" w:rsidRP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6B" w:rsidRP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универсальными, т.е. применимыми к большинству това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 и услуг, являются требования: назначения, безопасности, </w:t>
      </w:r>
      <w:proofErr w:type="spellStart"/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экологичности</w:t>
      </w:r>
      <w:proofErr w:type="spellEnd"/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надежности, эргономики, ресурсосбережения, технологичности, эстетичности.</w:t>
      </w:r>
    </w:p>
    <w:p w:rsidR="002A3A6B" w:rsidRP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Требования назначения 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требования, устанавливающие свойства продукции, определяющие ее основные функции, для выполнения которых она предназначена (производительность, точность, калорийность, быстрота исполнения услуги и др.), — функциональную пригодность; состав и структуру сырья и материалов; совместимость (</w:t>
      </w:r>
      <w:r w:rsidRPr="002A3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Совместимость 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пригодность продукции (процессов и услуг) к совместному, не вызывающему нежелательных взаимодействий использованию при заданных условиях для выполнения установленных требований) и взаимозаме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няемость (</w:t>
      </w:r>
      <w:r w:rsidRPr="002A3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Взаимозаменяемость 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пригодность одного изделия (процесса, услуги) для ис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пользования вместо другого изделия (процесса, услуги) в целях выполнения одних и тех же требований).</w:t>
      </w:r>
    </w:p>
    <w:p w:rsidR="002A3A6B" w:rsidRP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Требования эргономики 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требования согласованности конст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рукции изделия с особенностями человеческого организма для обеспе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удобства пользования (Эргономичность можно рассматривать так же, как проявление совместимости в системе «человек — изделие», «человек — техника»).</w:t>
      </w:r>
    </w:p>
    <w:p w:rsidR="002A3A6B" w:rsidRP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Требования ресурсосбережения 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требования экономного ис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пользования сырья, материалов, топлива, энергии и трудовых ресурсов.</w:t>
      </w:r>
    </w:p>
    <w:p w:rsidR="002A3A6B" w:rsidRP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Требования безопасности 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отсутствие недопустимого риска, свя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занного с возможностью нанесения ущерба.</w:t>
      </w:r>
    </w:p>
    <w:p w:rsidR="002A3A6B" w:rsidRP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Требования надежности 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сохранение во времени в установленных пределах всех параметров, характеризующих способность выполнять требуемые функции в заданных режимах и условиях применения, тех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нического обслуживания, хранения и транспортирования.</w:t>
      </w:r>
    </w:p>
    <w:p w:rsidR="002A3A6B" w:rsidRP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Требования </w:t>
      </w:r>
      <w:proofErr w:type="spellStart"/>
      <w:r w:rsidRPr="002A3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экологичности</w:t>
      </w:r>
      <w:proofErr w:type="spellEnd"/>
      <w:r w:rsidRPr="002A3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отсутствие вредного воздействия продук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на окружающую среду при производстве, эксплуатации и утилизации.</w:t>
      </w:r>
    </w:p>
    <w:p w:rsidR="002A3A6B" w:rsidRP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Требования технологичности 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приспособленность продукции к изготовлению, эксплуатации и ремонту с минимальными затратами при заданных показателях качества.</w:t>
      </w:r>
    </w:p>
    <w:p w:rsidR="002A3A6B" w:rsidRP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Эстетические требования 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требования к способности продук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или услуги выражать художественный образ, социально-культурную значимость в чувственно воспринимаемых человеком признаках фор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(цвет, пространственную конфигурацию, качество отделки изделия или помещения).</w:t>
      </w:r>
    </w:p>
    <w:p w:rsidR="002A3A6B" w:rsidRP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стандарта, регламента, содержащие требования, которые должны быть удовлетворены, называются </w:t>
      </w:r>
      <w:r w:rsidRPr="002A3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нормами. 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норма содер</w:t>
      </w:r>
      <w:r w:rsidRPr="002A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количественную характеристику, то применяют термин «норматив».</w:t>
      </w:r>
    </w:p>
    <w:p w:rsidR="002A3A6B" w:rsidRP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A6B" w:rsidRPr="002A3A6B" w:rsidRDefault="002A3A6B" w:rsidP="002A3A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50" w:rsidRDefault="002A3A6B">
      <w:pPr>
        <w:rPr>
          <w:rFonts w:ascii="Times New Roman" w:hAnsi="Times New Roman" w:cs="Times New Roman"/>
          <w:b/>
          <w:sz w:val="28"/>
          <w:szCs w:val="28"/>
        </w:rPr>
      </w:pPr>
      <w:r w:rsidRPr="002A3A6B">
        <w:rPr>
          <w:rFonts w:ascii="Times New Roman" w:hAnsi="Times New Roman" w:cs="Times New Roman"/>
          <w:b/>
          <w:sz w:val="28"/>
          <w:szCs w:val="28"/>
        </w:rPr>
        <w:t>222 гр.  Метрология</w:t>
      </w:r>
    </w:p>
    <w:p w:rsidR="008961BC" w:rsidRDefault="008961BC">
      <w:pPr>
        <w:rPr>
          <w:rFonts w:ascii="Times New Roman" w:hAnsi="Times New Roman" w:cs="Times New Roman"/>
          <w:b/>
          <w:sz w:val="28"/>
          <w:szCs w:val="28"/>
        </w:rPr>
      </w:pPr>
    </w:p>
    <w:p w:rsidR="008961BC" w:rsidRPr="008961BC" w:rsidRDefault="008961BC" w:rsidP="008961B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Calibri" w:hAnsi="Times New Roman" w:cs="Times New Roman"/>
          <w:b/>
          <w:sz w:val="28"/>
          <w:szCs w:val="28"/>
        </w:rPr>
        <w:t>Региональные организации по стандартизации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9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61B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организация по стандартизации (СЕН).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Европейский комитет по стандартизации в электротехнике (СЕНЭЛЕК)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СЕН 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</w:t>
      </w:r>
      <w:proofErr w:type="gramEnd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 Европейская  организация  по  стандартизации основана в </w:t>
      </w:r>
      <w:smartTag w:uri="urn:schemas-microsoft-com:office:smarttags" w:element="metricconverter">
        <w:smartTagPr>
          <w:attr w:name="ProductID" w:val="1961 г"/>
        </w:smartTagPr>
        <w:r w:rsidRPr="008961B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1961 </w:t>
        </w:r>
        <w:r w:rsidRPr="008961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</w:t>
        </w:r>
      </w:smartTag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СЕНЭЛЕК (</w:t>
      </w:r>
      <w:proofErr w:type="gramStart"/>
      <w:r w:rsidRPr="00896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CENELEK</w:t>
      </w:r>
      <w:r w:rsidRPr="00896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  </w:t>
      </w:r>
      <w:proofErr w:type="gramEnd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Европейская   организация   по стандартизации в электронике основана в </w:t>
      </w:r>
      <w:smartTag w:uri="urn:schemas-microsoft-com:office:smarttags" w:element="metricconverter">
        <w:smartTagPr>
          <w:attr w:name="ProductID" w:val="1971 г"/>
        </w:smartTagPr>
        <w:r w:rsidRPr="008961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1971 г</w:t>
        </w:r>
      </w:smartTag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 организации   объединяют   национальные   организации   экономических группировок стран Европы и определяют: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порядок и формы использования национальных и между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народных стандартов;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применимость национальных и международных стандар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без их переработки в европейские и контроль за со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блюдением.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СЕН связана с разработкой стандартов по оборудова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</w:t>
      </w:r>
      <w:proofErr w:type="spellStart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газонефтепроизводств</w:t>
      </w:r>
      <w:proofErr w:type="spellEnd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сварке, металлопрокату, судострое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и т. п.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СЕН являются национальные организации стан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дартизации 17 европейских государств: Австрии, Бельгии, Вели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кобритании, Германии, Греции, Дании, Исландии, Испании, Италии, Люксембурга, Нидерландов, Норвегии, Португалии, Финляндии, Франции, Швейцарии, Швеции.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цель СЕН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содействие развитию торговли това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рами и услугами путем разработки европейских стандартов (</w:t>
      </w:r>
      <w:proofErr w:type="spellStart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евронорм</w:t>
      </w:r>
      <w:proofErr w:type="spellEnd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которые могли бы ссылаться в своих директивах межправительственные организации, обеспечивая сотрудничест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со всеми организациями, занимающимися стандартизацией.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СЕНЕЛЕК базируется на международных стандартах.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СЕНЭЛЕК - 17 стран Европы: Австрия, Бельгия, Ве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ликобритания, Германия, Греция, Дания, Ирландия, Испания, Италия, Люксембург, Нидерланды, Норвегия, Португалия, Фин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ляндия, Франция, Швейцария, Швеция. Эти страны (кроме Люксембурга) представлены национальными электротехниче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комитетами и являются членами МЭК.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СЕНЭЛЕК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разработка стандартов на электротехни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ческую продукцию. Стандарты СЕНЭЛЕК направлены на созда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единого европейского рынка.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Европейский институт по стандартизации в области электросвязи (ЕТСИ)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сегодняшний день в ЕТСИ участвуют 24 государства в ка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честве полноправных членов, а также ряд ассоциированных чле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(</w:t>
      </w:r>
      <w:proofErr w:type="gramStart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Австралия и Израиль), не имеющих права реша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ющего голоса.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ЕТСИ — поиск общих стандартов, на осно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которых можно создать общую структуру электросвязи. Эта структура должна обеспечить полную совместимость любого оборудования и услуг, предлагаемых потребителям.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Межскандинавская</w:t>
      </w:r>
      <w:proofErr w:type="spellEnd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по стандартизации (ИНСТА)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Межскандинавская</w:t>
      </w:r>
      <w:proofErr w:type="spellEnd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по стандартизации (ИНСТА) создана в </w:t>
      </w:r>
      <w:smartTag w:uri="urn:schemas-microsoft-com:office:smarttags" w:element="metricconverter">
        <w:smartTagPr>
          <w:attr w:name="ProductID" w:val="1952 г"/>
        </w:smartTagPr>
        <w:r w:rsidRPr="008961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1952 г</w:t>
        </w:r>
      </w:smartTag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Ее члены Дания, Норвегия, Финляндия, </w:t>
      </w:r>
      <w:proofErr w:type="gramStart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Швеция,  входящие</w:t>
      </w:r>
      <w:proofErr w:type="gramEnd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национальными организациями по стандартизации, а также десять других организаций, занимаю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 вопросами стандартизации в этих странах.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своей деятельности организация считает достижение взаимопонимания между скандинавскими страна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Приоритетными направлениями в гармонизации националь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стандартов признаны: </w:t>
      </w:r>
      <w:proofErr w:type="spellStart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станкостроение, безопас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рабочих мест, эксплуатационная надежность и безопас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противопожарных средств.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Международная ассоциация стран Юго-Восточной Азии (АСЕАН)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</w:t>
      </w:r>
      <w:r w:rsidRPr="0089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Ассоциация государств Юго-Восточной Азии (АСЕАН) в </w:t>
      </w:r>
      <w:smartTag w:uri="urn:schemas-microsoft-com:office:smarttags" w:element="metricconverter">
        <w:smartTagPr>
          <w:attr w:name="ProductID" w:val="1994 г"/>
        </w:smartTagPr>
        <w:r w:rsidRPr="008961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1994 г</w:t>
        </w:r>
      </w:smartTag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создала Консультативный Комитет по стан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дартизации и качеству. В состав этой региональной организации входят национальные организации по стандартизации и серти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фикации стран-членов АСЕАН: Малайзии, Таиланда, Индоне</w:t>
      </w:r>
      <w:r w:rsidRPr="0089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зии, Сингапура, Филиппин, Вьетнама.</w:t>
      </w:r>
    </w:p>
    <w:p w:rsidR="008961BC" w:rsidRPr="008961BC" w:rsidRDefault="008961BC" w:rsidP="008961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BC" w:rsidRDefault="008961BC">
      <w:pPr>
        <w:rPr>
          <w:rFonts w:ascii="Times New Roman" w:hAnsi="Times New Roman" w:cs="Times New Roman"/>
          <w:b/>
          <w:sz w:val="28"/>
          <w:szCs w:val="28"/>
        </w:rPr>
      </w:pPr>
    </w:p>
    <w:p w:rsidR="002A3A6B" w:rsidRPr="002A3A6B" w:rsidRDefault="002A3A6B">
      <w:pPr>
        <w:rPr>
          <w:rFonts w:ascii="Times New Roman" w:hAnsi="Times New Roman" w:cs="Times New Roman"/>
          <w:b/>
          <w:sz w:val="28"/>
          <w:szCs w:val="28"/>
        </w:rPr>
      </w:pPr>
    </w:p>
    <w:p w:rsidR="007C21DB" w:rsidRDefault="007C21DB">
      <w:pPr>
        <w:rPr>
          <w:rFonts w:ascii="Times New Roman" w:hAnsi="Times New Roman" w:cs="Times New Roman"/>
          <w:b/>
          <w:sz w:val="28"/>
          <w:szCs w:val="28"/>
        </w:rPr>
      </w:pPr>
    </w:p>
    <w:p w:rsidR="0064465B" w:rsidRDefault="0064465B">
      <w:pPr>
        <w:rPr>
          <w:rFonts w:ascii="Times New Roman" w:hAnsi="Times New Roman" w:cs="Times New Roman"/>
          <w:b/>
          <w:sz w:val="28"/>
          <w:szCs w:val="28"/>
        </w:rPr>
      </w:pPr>
    </w:p>
    <w:p w:rsidR="0064465B" w:rsidRDefault="0064465B">
      <w:pPr>
        <w:rPr>
          <w:rFonts w:ascii="Times New Roman" w:hAnsi="Times New Roman" w:cs="Times New Roman"/>
          <w:b/>
          <w:sz w:val="28"/>
          <w:szCs w:val="28"/>
        </w:rPr>
      </w:pPr>
    </w:p>
    <w:p w:rsidR="0064465B" w:rsidRDefault="0064465B">
      <w:pPr>
        <w:rPr>
          <w:rFonts w:ascii="Times New Roman" w:hAnsi="Times New Roman" w:cs="Times New Roman"/>
          <w:b/>
          <w:sz w:val="28"/>
          <w:szCs w:val="28"/>
        </w:rPr>
      </w:pPr>
    </w:p>
    <w:p w:rsidR="0064465B" w:rsidRDefault="0064465B">
      <w:pPr>
        <w:rPr>
          <w:rFonts w:ascii="Times New Roman" w:hAnsi="Times New Roman" w:cs="Times New Roman"/>
          <w:b/>
          <w:sz w:val="28"/>
          <w:szCs w:val="28"/>
        </w:rPr>
      </w:pPr>
    </w:p>
    <w:p w:rsidR="0064465B" w:rsidRDefault="0064465B">
      <w:pPr>
        <w:rPr>
          <w:rFonts w:ascii="Times New Roman" w:hAnsi="Times New Roman" w:cs="Times New Roman"/>
          <w:b/>
          <w:sz w:val="28"/>
          <w:szCs w:val="28"/>
        </w:rPr>
      </w:pPr>
    </w:p>
    <w:p w:rsidR="006659A4" w:rsidRDefault="006659A4">
      <w:pPr>
        <w:rPr>
          <w:rFonts w:ascii="Times New Roman" w:hAnsi="Times New Roman" w:cs="Times New Roman"/>
          <w:b/>
          <w:sz w:val="28"/>
          <w:szCs w:val="28"/>
        </w:rPr>
      </w:pPr>
    </w:p>
    <w:p w:rsidR="006659A4" w:rsidRDefault="006659A4">
      <w:pPr>
        <w:rPr>
          <w:rFonts w:ascii="Times New Roman" w:hAnsi="Times New Roman" w:cs="Times New Roman"/>
          <w:b/>
          <w:sz w:val="28"/>
          <w:szCs w:val="28"/>
        </w:rPr>
      </w:pPr>
    </w:p>
    <w:p w:rsidR="0064465B" w:rsidRDefault="0064465B">
      <w:pPr>
        <w:rPr>
          <w:rFonts w:ascii="Times New Roman" w:hAnsi="Times New Roman" w:cs="Times New Roman"/>
          <w:b/>
          <w:sz w:val="28"/>
          <w:szCs w:val="28"/>
        </w:rPr>
      </w:pPr>
    </w:p>
    <w:p w:rsidR="0064465B" w:rsidRDefault="00644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222 гр.  Метрология</w:t>
      </w:r>
    </w:p>
    <w:p w:rsidR="005D4DDF" w:rsidRDefault="005D4DDF">
      <w:pPr>
        <w:rPr>
          <w:rFonts w:ascii="Times New Roman" w:hAnsi="Times New Roman" w:cs="Times New Roman"/>
          <w:b/>
          <w:sz w:val="28"/>
          <w:szCs w:val="28"/>
        </w:rPr>
      </w:pPr>
    </w:p>
    <w:p w:rsidR="006314A8" w:rsidRPr="005D4DDF" w:rsidRDefault="005D4DDF" w:rsidP="005D4DD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Стандартизация в СНГ.</w:t>
      </w:r>
    </w:p>
    <w:p w:rsidR="005D4DDF" w:rsidRPr="005D4DDF" w:rsidRDefault="005D4DDF" w:rsidP="005D4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Стандартизация, сертификация и метрология в рамках СНГ осу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ществляются в соответствии с соглашением «О проведении со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гласованной политики в области стандартизации, метрологии и сертификации», которое является межправительственным и дей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ствует с </w:t>
      </w:r>
      <w:smartTag w:uri="urn:schemas-microsoft-com:office:smarttags" w:element="metricconverter">
        <w:smartTagPr>
          <w:attr w:name="ProductID" w:val="1992 г"/>
        </w:smartTagPr>
        <w:r w:rsidRPr="005D4D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1992 г</w:t>
        </w:r>
      </w:smartTag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DDF" w:rsidRPr="005D4DDF" w:rsidRDefault="005D4DDF" w:rsidP="005D4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Межгосударственный совет (МГС) стран-участниц СНГ, в котором представлены все национальные организации по стандартизации. МГС принимает межгосударственные стан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дарты. Работа по стандартизации ведется в соответствии с про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граммами, которые МГС составляет на основе обобщения пред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ложений, поступающих от национальных органов по стандарти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зации.</w:t>
      </w:r>
    </w:p>
    <w:p w:rsidR="005D4DDF" w:rsidRPr="005D4DDF" w:rsidRDefault="005D4DDF" w:rsidP="005D4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88 г"/>
        </w:smartTagPr>
        <w:r w:rsidRPr="005D4D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1988 г</w:t>
        </w:r>
      </w:smartTag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подписан важный документ, касающийся та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актуальной области, как аккредитация. Протокол о много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стороннем сотрудничестве в области аккредитации подписали все государства СНГ, кроме Украины.</w:t>
      </w:r>
    </w:p>
    <w:p w:rsidR="005D4DDF" w:rsidRPr="005D4DDF" w:rsidRDefault="005D4DDF" w:rsidP="005D4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признаки признания международным сообщест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Межгосударственного совета региональной организацией по стандартизации: подписаны соглашения МЭК и СЕН о сотруд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ничестве.   </w:t>
      </w:r>
      <w:proofErr w:type="gramStart"/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 соглашения</w:t>
      </w:r>
      <w:proofErr w:type="gramEnd"/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 сотрудничестве  направлен в ИСО.</w:t>
      </w:r>
    </w:p>
    <w:p w:rsidR="005D4DDF" w:rsidRPr="005D4DDF" w:rsidRDefault="005D4DDF" w:rsidP="005D4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сложной проблемой в работе МГС считается раз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работка региональной системы подтверждения соответствия. На сегодняшний день каждая страна действует по правилам нацио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нальных систем сертификации со своими знаками соответствия. Переход на единые правила и единый знак соответствия оказал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болезненным и, как ожидается, будет долгим, хотя все пред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ставители стран заявили о необходимости этого. Особое мнение высказывает Украина, считая создание региональной системы нецелесообразным.</w:t>
      </w:r>
    </w:p>
    <w:p w:rsidR="005D4DDF" w:rsidRPr="005D4DDF" w:rsidRDefault="005D4DDF" w:rsidP="005D4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D4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Первоочередные  перспективные</w:t>
      </w:r>
      <w:proofErr w:type="gramEnd"/>
      <w:r w:rsidRPr="005D4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задачи МГС:</w:t>
      </w:r>
    </w:p>
    <w:p w:rsidR="005D4DDF" w:rsidRPr="005D4DDF" w:rsidRDefault="005D4DDF" w:rsidP="005D4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развитие сотрудничества с ИСО, </w:t>
      </w:r>
      <w:proofErr w:type="gramStart"/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МЭК,  СЕН</w:t>
      </w:r>
      <w:proofErr w:type="gramEnd"/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международными   и   региональными   организациями   по стандартизации, сертификации и метрологии;</w:t>
      </w:r>
    </w:p>
    <w:p w:rsidR="005D4DDF" w:rsidRPr="005D4DDF" w:rsidRDefault="005D4DDF" w:rsidP="005D4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создание в рамках МГС Евро-Азиатской региональной ор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ганизации по аккредитации испытательных лабораторий;</w:t>
      </w:r>
    </w:p>
    <w:p w:rsidR="005D4DDF" w:rsidRPr="005D4DDF" w:rsidRDefault="005D4DDF" w:rsidP="005D4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решение проблем единообразия учебных дисциплин, для специалистов по стандартизации, метрологии, сертифика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5D4DDF" w:rsidRPr="005D4DDF" w:rsidRDefault="005D4DDF" w:rsidP="005D4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также вопрос о возможности участия в ра</w:t>
      </w:r>
      <w:r w:rsidRPr="005D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боте МГС национальных организаций по стандартизации стран, не являющихся членами СНГ.</w:t>
      </w:r>
    </w:p>
    <w:p w:rsidR="006314A8" w:rsidRDefault="006314A8">
      <w:pPr>
        <w:rPr>
          <w:rFonts w:ascii="Times New Roman" w:hAnsi="Times New Roman" w:cs="Times New Roman"/>
          <w:b/>
          <w:sz w:val="28"/>
          <w:szCs w:val="28"/>
        </w:rPr>
      </w:pPr>
    </w:p>
    <w:p w:rsidR="007C21DB" w:rsidRPr="007C21DB" w:rsidRDefault="007C21DB">
      <w:pPr>
        <w:rPr>
          <w:rFonts w:ascii="Times New Roman" w:hAnsi="Times New Roman" w:cs="Times New Roman"/>
          <w:sz w:val="28"/>
          <w:szCs w:val="28"/>
        </w:rPr>
      </w:pPr>
    </w:p>
    <w:p w:rsidR="00247456" w:rsidRPr="00247456" w:rsidRDefault="00247456">
      <w:pPr>
        <w:rPr>
          <w:rFonts w:ascii="Times New Roman" w:hAnsi="Times New Roman" w:cs="Times New Roman"/>
          <w:sz w:val="28"/>
          <w:szCs w:val="28"/>
        </w:rPr>
      </w:pPr>
    </w:p>
    <w:sectPr w:rsidR="00247456" w:rsidRPr="0024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FCA"/>
    <w:multiLevelType w:val="hybridMultilevel"/>
    <w:tmpl w:val="E5FC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946"/>
    <w:multiLevelType w:val="hybridMultilevel"/>
    <w:tmpl w:val="B1EE6838"/>
    <w:lvl w:ilvl="0" w:tplc="B554FE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0E20"/>
    <w:multiLevelType w:val="hybridMultilevel"/>
    <w:tmpl w:val="157C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65C2C"/>
    <w:multiLevelType w:val="hybridMultilevel"/>
    <w:tmpl w:val="4C6C5782"/>
    <w:lvl w:ilvl="0" w:tplc="3378073E">
      <w:start w:val="1"/>
      <w:numFmt w:val="decimal"/>
      <w:lvlText w:val="%1."/>
      <w:lvlJc w:val="left"/>
      <w:pPr>
        <w:ind w:left="899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4BA3B35"/>
    <w:multiLevelType w:val="hybridMultilevel"/>
    <w:tmpl w:val="0C7AE826"/>
    <w:lvl w:ilvl="0" w:tplc="A2A87B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10746D"/>
    <w:multiLevelType w:val="hybridMultilevel"/>
    <w:tmpl w:val="0968520E"/>
    <w:lvl w:ilvl="0" w:tplc="37A0556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39"/>
    <w:rsid w:val="00131050"/>
    <w:rsid w:val="00247456"/>
    <w:rsid w:val="002A3A6B"/>
    <w:rsid w:val="00420B05"/>
    <w:rsid w:val="005D4DDF"/>
    <w:rsid w:val="00607E71"/>
    <w:rsid w:val="006314A8"/>
    <w:rsid w:val="00641789"/>
    <w:rsid w:val="0064465B"/>
    <w:rsid w:val="006659A4"/>
    <w:rsid w:val="007C21DB"/>
    <w:rsid w:val="008961BC"/>
    <w:rsid w:val="00B73503"/>
    <w:rsid w:val="00E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9D648E"/>
  <w15:chartTrackingRefBased/>
  <w15:docId w15:val="{DABFAA43-FA75-4C94-85F2-49711369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2024-03-03T13:03:00Z</dcterms:created>
  <dcterms:modified xsi:type="dcterms:W3CDTF">2024-03-05T15:13:00Z</dcterms:modified>
</cp:coreProperties>
</file>